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332"/>
        <w:gridCol w:w="1969"/>
        <w:gridCol w:w="2140"/>
        <w:gridCol w:w="1257"/>
      </w:tblGrid>
      <w:tr w:rsidR="00C77E4F" w:rsidRPr="0050492F" w:rsidTr="00970B69">
        <w:tc>
          <w:tcPr>
            <w:tcW w:w="9242" w:type="dxa"/>
            <w:gridSpan w:val="5"/>
            <w:shd w:val="clear" w:color="auto" w:fill="auto"/>
            <w:vAlign w:val="center"/>
          </w:tcPr>
          <w:p w:rsidR="00C77E4F" w:rsidRPr="0050492F" w:rsidRDefault="00C77E4F" w:rsidP="00970B69">
            <w:pPr>
              <w:pStyle w:val="TableHeadingSmall"/>
            </w:pPr>
            <w:bookmarkStart w:id="0" w:name="OLE_LINK1"/>
            <w:r w:rsidRPr="0050492F">
              <w:t>Approvals Table</w:t>
            </w:r>
          </w:p>
        </w:tc>
      </w:tr>
      <w:tr w:rsidR="00C77E4F" w:rsidRPr="009A6235" w:rsidTr="00970B69">
        <w:tc>
          <w:tcPr>
            <w:tcW w:w="1544" w:type="dxa"/>
            <w:shd w:val="clear" w:color="auto" w:fill="auto"/>
            <w:vAlign w:val="center"/>
          </w:tcPr>
          <w:p w:rsidR="00C77E4F" w:rsidRPr="009A6235" w:rsidRDefault="00C77E4F" w:rsidP="00970B69">
            <w:pPr>
              <w:pStyle w:val="TableHeadingSmall"/>
            </w:pPr>
          </w:p>
        </w:tc>
        <w:tc>
          <w:tcPr>
            <w:tcW w:w="2332" w:type="dxa"/>
            <w:shd w:val="clear" w:color="auto" w:fill="auto"/>
            <w:vAlign w:val="center"/>
          </w:tcPr>
          <w:p w:rsidR="00C77E4F" w:rsidRPr="009A6235" w:rsidRDefault="00C77E4F" w:rsidP="00970B69">
            <w:pPr>
              <w:pStyle w:val="TableHeadingSmall"/>
            </w:pPr>
            <w:r>
              <w:t>Role</w:t>
            </w:r>
          </w:p>
        </w:tc>
        <w:tc>
          <w:tcPr>
            <w:tcW w:w="1969" w:type="dxa"/>
            <w:shd w:val="clear" w:color="auto" w:fill="auto"/>
            <w:vAlign w:val="center"/>
          </w:tcPr>
          <w:p w:rsidR="00C77E4F" w:rsidRPr="009A6235" w:rsidRDefault="00C77E4F" w:rsidP="00970B69">
            <w:pPr>
              <w:pStyle w:val="TableHeadingSmall"/>
            </w:pPr>
            <w:r>
              <w:t>Printed Name</w:t>
            </w:r>
          </w:p>
        </w:tc>
        <w:tc>
          <w:tcPr>
            <w:tcW w:w="2140" w:type="dxa"/>
            <w:shd w:val="clear" w:color="auto" w:fill="auto"/>
            <w:vAlign w:val="center"/>
          </w:tcPr>
          <w:p w:rsidR="00C77E4F" w:rsidRPr="009A6235" w:rsidRDefault="00C77E4F" w:rsidP="00970B69">
            <w:pPr>
              <w:pStyle w:val="TableHeadingSmall"/>
            </w:pPr>
            <w:r>
              <w:t>Signature</w:t>
            </w:r>
          </w:p>
        </w:tc>
        <w:tc>
          <w:tcPr>
            <w:tcW w:w="1257" w:type="dxa"/>
            <w:shd w:val="clear" w:color="auto" w:fill="auto"/>
            <w:vAlign w:val="center"/>
          </w:tcPr>
          <w:p w:rsidR="00C77E4F" w:rsidRPr="009A6235" w:rsidRDefault="00C77E4F" w:rsidP="00970B69">
            <w:pPr>
              <w:pStyle w:val="TableHeadingSmall"/>
            </w:pPr>
            <w:r>
              <w:t>Date</w:t>
            </w:r>
          </w:p>
        </w:tc>
      </w:tr>
      <w:tr w:rsidR="00C77E4F" w:rsidRPr="009A6235" w:rsidTr="00970B69">
        <w:tc>
          <w:tcPr>
            <w:tcW w:w="1544" w:type="dxa"/>
            <w:shd w:val="clear" w:color="auto" w:fill="auto"/>
            <w:vAlign w:val="center"/>
          </w:tcPr>
          <w:p w:rsidR="00C77E4F" w:rsidRDefault="00C77E4F" w:rsidP="00970B69">
            <w:pPr>
              <w:pStyle w:val="TableBodySmall"/>
            </w:pPr>
            <w:r>
              <w:t>Originated by</w:t>
            </w:r>
          </w:p>
        </w:tc>
        <w:tc>
          <w:tcPr>
            <w:tcW w:w="2332" w:type="dxa"/>
            <w:shd w:val="clear" w:color="auto" w:fill="auto"/>
            <w:vAlign w:val="center"/>
          </w:tcPr>
          <w:p w:rsidR="00C77E4F" w:rsidRDefault="00C77E4F" w:rsidP="00970B69">
            <w:pPr>
              <w:pStyle w:val="TableBodySmall"/>
            </w:pPr>
            <w:r>
              <w:t>Document Author</w:t>
            </w:r>
          </w:p>
        </w:tc>
        <w:tc>
          <w:tcPr>
            <w:tcW w:w="1969" w:type="dxa"/>
            <w:shd w:val="clear" w:color="auto" w:fill="auto"/>
            <w:vAlign w:val="center"/>
          </w:tcPr>
          <w:p w:rsidR="00C77E4F" w:rsidRPr="009A6235" w:rsidRDefault="00870C87" w:rsidP="00970B69">
            <w:pPr>
              <w:pStyle w:val="TableBodySmall"/>
            </w:pPr>
            <w:r>
              <w:t>S. Reilly</w:t>
            </w:r>
          </w:p>
        </w:tc>
        <w:tc>
          <w:tcPr>
            <w:tcW w:w="2140" w:type="dxa"/>
            <w:shd w:val="clear" w:color="auto" w:fill="auto"/>
            <w:vAlign w:val="center"/>
          </w:tcPr>
          <w:p w:rsidR="00C77E4F" w:rsidRPr="009A6235" w:rsidRDefault="00C77E4F" w:rsidP="00970B69">
            <w:pPr>
              <w:pStyle w:val="TableBodySmall"/>
            </w:pPr>
          </w:p>
        </w:tc>
        <w:tc>
          <w:tcPr>
            <w:tcW w:w="1257" w:type="dxa"/>
            <w:shd w:val="clear" w:color="auto" w:fill="auto"/>
            <w:vAlign w:val="center"/>
          </w:tcPr>
          <w:p w:rsidR="00C77E4F" w:rsidRPr="009A6235" w:rsidRDefault="00C77E4F" w:rsidP="00970B69">
            <w:pPr>
              <w:pStyle w:val="TableBodySmall"/>
            </w:pPr>
          </w:p>
        </w:tc>
      </w:tr>
      <w:tr w:rsidR="00C77E4F" w:rsidRPr="009A6235" w:rsidTr="00970B69">
        <w:tc>
          <w:tcPr>
            <w:tcW w:w="1544" w:type="dxa"/>
            <w:shd w:val="clear" w:color="auto" w:fill="auto"/>
            <w:vAlign w:val="center"/>
          </w:tcPr>
          <w:p w:rsidR="00C77E4F" w:rsidRDefault="00C77E4F" w:rsidP="00970B69">
            <w:pPr>
              <w:pStyle w:val="TableBodySmall"/>
            </w:pPr>
            <w:r>
              <w:t>Reviewed</w:t>
            </w:r>
            <w:r w:rsidRPr="00A879B3">
              <w:t xml:space="preserve"> by</w:t>
            </w:r>
          </w:p>
        </w:tc>
        <w:tc>
          <w:tcPr>
            <w:tcW w:w="2332" w:type="dxa"/>
            <w:shd w:val="clear" w:color="auto" w:fill="auto"/>
            <w:vAlign w:val="center"/>
          </w:tcPr>
          <w:p w:rsidR="00C77E4F" w:rsidRDefault="00C77E4F" w:rsidP="00970B69">
            <w:pPr>
              <w:pStyle w:val="TableBodySmall"/>
            </w:pPr>
            <w:r>
              <w:t>Document Reviewer</w:t>
            </w:r>
          </w:p>
        </w:tc>
        <w:tc>
          <w:tcPr>
            <w:tcW w:w="1969" w:type="dxa"/>
            <w:shd w:val="clear" w:color="auto" w:fill="auto"/>
            <w:vAlign w:val="center"/>
          </w:tcPr>
          <w:p w:rsidR="00C77E4F" w:rsidRPr="009A6235" w:rsidRDefault="00C77E4F" w:rsidP="00970B69">
            <w:pPr>
              <w:pStyle w:val="TableBodySmall"/>
            </w:pPr>
            <w:r>
              <w:t>J. Roberts</w:t>
            </w:r>
          </w:p>
        </w:tc>
        <w:tc>
          <w:tcPr>
            <w:tcW w:w="2140" w:type="dxa"/>
            <w:shd w:val="clear" w:color="auto" w:fill="auto"/>
            <w:vAlign w:val="center"/>
          </w:tcPr>
          <w:p w:rsidR="00C77E4F" w:rsidRPr="009A6235" w:rsidRDefault="00C77E4F" w:rsidP="00970B69">
            <w:pPr>
              <w:pStyle w:val="TableBodySmall"/>
            </w:pPr>
          </w:p>
        </w:tc>
        <w:tc>
          <w:tcPr>
            <w:tcW w:w="1257" w:type="dxa"/>
            <w:shd w:val="clear" w:color="auto" w:fill="auto"/>
            <w:vAlign w:val="center"/>
          </w:tcPr>
          <w:p w:rsidR="00C77E4F" w:rsidRPr="009A6235" w:rsidRDefault="00C77E4F" w:rsidP="00970B69">
            <w:pPr>
              <w:pStyle w:val="TableBodySmall"/>
            </w:pPr>
          </w:p>
        </w:tc>
      </w:tr>
      <w:tr w:rsidR="00C77E4F" w:rsidRPr="009A6235" w:rsidTr="00970B69">
        <w:tc>
          <w:tcPr>
            <w:tcW w:w="1544" w:type="dxa"/>
            <w:shd w:val="clear" w:color="auto" w:fill="auto"/>
            <w:vAlign w:val="center"/>
          </w:tcPr>
          <w:p w:rsidR="00C77E4F" w:rsidRDefault="00C77E4F" w:rsidP="00970B69">
            <w:pPr>
              <w:pStyle w:val="TableBodySmall"/>
            </w:pPr>
            <w:r>
              <w:t>Approved by</w:t>
            </w:r>
          </w:p>
        </w:tc>
        <w:tc>
          <w:tcPr>
            <w:tcW w:w="2332" w:type="dxa"/>
            <w:shd w:val="clear" w:color="auto" w:fill="auto"/>
            <w:vAlign w:val="center"/>
          </w:tcPr>
          <w:p w:rsidR="00C77E4F" w:rsidRDefault="00C77E4F" w:rsidP="00970B69">
            <w:pPr>
              <w:pStyle w:val="TableBodySmall"/>
            </w:pPr>
            <w:r>
              <w:t>Principal Archaeologist</w:t>
            </w:r>
          </w:p>
        </w:tc>
        <w:tc>
          <w:tcPr>
            <w:tcW w:w="1969" w:type="dxa"/>
            <w:shd w:val="clear" w:color="auto" w:fill="auto"/>
            <w:vAlign w:val="center"/>
          </w:tcPr>
          <w:p w:rsidR="00C77E4F" w:rsidRPr="009A6235" w:rsidRDefault="00C77E4F" w:rsidP="00970B69">
            <w:pPr>
              <w:pStyle w:val="TableBodySmall"/>
            </w:pPr>
          </w:p>
        </w:tc>
        <w:tc>
          <w:tcPr>
            <w:tcW w:w="2140" w:type="dxa"/>
            <w:shd w:val="clear" w:color="auto" w:fill="auto"/>
            <w:vAlign w:val="center"/>
          </w:tcPr>
          <w:p w:rsidR="00C77E4F" w:rsidRPr="009A6235" w:rsidRDefault="00C77E4F" w:rsidP="00970B69">
            <w:pPr>
              <w:pStyle w:val="TableBodySmall"/>
            </w:pPr>
          </w:p>
        </w:tc>
        <w:tc>
          <w:tcPr>
            <w:tcW w:w="1257" w:type="dxa"/>
            <w:shd w:val="clear" w:color="auto" w:fill="auto"/>
            <w:vAlign w:val="center"/>
          </w:tcPr>
          <w:p w:rsidR="00C77E4F" w:rsidRPr="009A6235" w:rsidRDefault="00C77E4F" w:rsidP="00970B69">
            <w:pPr>
              <w:pStyle w:val="TableBodySmall"/>
            </w:pPr>
          </w:p>
        </w:tc>
      </w:tr>
    </w:tbl>
    <w:p w:rsidR="00C77E4F" w:rsidRDefault="00C77E4F" w:rsidP="00C77E4F"/>
    <w:p w:rsidR="00C77E4F" w:rsidRDefault="00C77E4F" w:rsidP="00C77E4F"/>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260"/>
        <w:gridCol w:w="2914"/>
      </w:tblGrid>
      <w:tr w:rsidR="00C77E4F" w:rsidRPr="00057A3F" w:rsidTr="00970B69">
        <w:tc>
          <w:tcPr>
            <w:tcW w:w="9214" w:type="dxa"/>
            <w:gridSpan w:val="4"/>
            <w:shd w:val="clear" w:color="auto" w:fill="auto"/>
            <w:vAlign w:val="center"/>
          </w:tcPr>
          <w:p w:rsidR="00C77E4F" w:rsidRPr="00057A3F" w:rsidRDefault="00C77E4F" w:rsidP="00970B69">
            <w:pPr>
              <w:pStyle w:val="TableHeadingSmall"/>
            </w:pPr>
            <w:bookmarkStart w:id="1" w:name="_Toc262115585"/>
            <w:r w:rsidRPr="00057A3F">
              <w:t>Revision History</w:t>
            </w:r>
            <w:bookmarkEnd w:id="1"/>
          </w:p>
        </w:tc>
      </w:tr>
      <w:tr w:rsidR="00C77E4F" w:rsidRPr="00057A3F" w:rsidTr="00970B69">
        <w:tc>
          <w:tcPr>
            <w:tcW w:w="1080" w:type="dxa"/>
            <w:shd w:val="clear" w:color="auto" w:fill="auto"/>
            <w:vAlign w:val="center"/>
          </w:tcPr>
          <w:p w:rsidR="00C77E4F" w:rsidRPr="00057A3F" w:rsidRDefault="00C77E4F" w:rsidP="00970B69">
            <w:pPr>
              <w:pStyle w:val="TableHeadingSmall"/>
            </w:pPr>
            <w:r w:rsidRPr="00057A3F">
              <w:t>Rev No.</w:t>
            </w:r>
          </w:p>
        </w:tc>
        <w:tc>
          <w:tcPr>
            <w:tcW w:w="3960" w:type="dxa"/>
            <w:shd w:val="clear" w:color="auto" w:fill="auto"/>
            <w:vAlign w:val="center"/>
          </w:tcPr>
          <w:p w:rsidR="00C77E4F" w:rsidRPr="00057A3F" w:rsidRDefault="00C77E4F" w:rsidP="00970B69">
            <w:pPr>
              <w:pStyle w:val="TableHeadingSmall"/>
            </w:pPr>
            <w:r w:rsidRPr="00057A3F">
              <w:t>Summary of Changes</w:t>
            </w:r>
          </w:p>
        </w:tc>
        <w:tc>
          <w:tcPr>
            <w:tcW w:w="1260" w:type="dxa"/>
            <w:shd w:val="clear" w:color="auto" w:fill="auto"/>
            <w:vAlign w:val="center"/>
          </w:tcPr>
          <w:p w:rsidR="00C77E4F" w:rsidRPr="00057A3F" w:rsidRDefault="00C77E4F" w:rsidP="00970B69">
            <w:pPr>
              <w:pStyle w:val="TableHeadingSmall"/>
            </w:pPr>
            <w:r w:rsidRPr="00057A3F">
              <w:t>Ref Section</w:t>
            </w:r>
          </w:p>
        </w:tc>
        <w:tc>
          <w:tcPr>
            <w:tcW w:w="2914" w:type="dxa"/>
            <w:shd w:val="clear" w:color="auto" w:fill="auto"/>
            <w:vAlign w:val="center"/>
          </w:tcPr>
          <w:p w:rsidR="00C77E4F" w:rsidRPr="00057A3F" w:rsidRDefault="00C77E4F" w:rsidP="00970B69">
            <w:pPr>
              <w:pStyle w:val="TableHeadingSmall"/>
            </w:pPr>
            <w:r w:rsidRPr="00057A3F">
              <w:t>Purpose of Issue</w:t>
            </w:r>
          </w:p>
        </w:tc>
      </w:tr>
      <w:tr w:rsidR="00C77E4F" w:rsidRPr="00057A3F" w:rsidTr="00970B69">
        <w:tc>
          <w:tcPr>
            <w:tcW w:w="1080" w:type="dxa"/>
            <w:shd w:val="clear" w:color="auto" w:fill="auto"/>
          </w:tcPr>
          <w:p w:rsidR="00C77E4F" w:rsidRPr="00057A3F" w:rsidRDefault="00C77E4F" w:rsidP="00970B69">
            <w:pPr>
              <w:pStyle w:val="TableBodySmall"/>
              <w:jc w:val="center"/>
            </w:pPr>
          </w:p>
        </w:tc>
        <w:tc>
          <w:tcPr>
            <w:tcW w:w="3960" w:type="dxa"/>
            <w:shd w:val="clear" w:color="auto" w:fill="auto"/>
          </w:tcPr>
          <w:p w:rsidR="00C77E4F" w:rsidRPr="00057A3F" w:rsidRDefault="00C77E4F" w:rsidP="00970B69">
            <w:pPr>
              <w:pStyle w:val="TableBodySmall"/>
            </w:pPr>
          </w:p>
        </w:tc>
        <w:tc>
          <w:tcPr>
            <w:tcW w:w="1260" w:type="dxa"/>
            <w:shd w:val="clear" w:color="auto" w:fill="auto"/>
          </w:tcPr>
          <w:p w:rsidR="00C77E4F" w:rsidRPr="00057A3F" w:rsidRDefault="00C77E4F" w:rsidP="00970B69">
            <w:pPr>
              <w:pStyle w:val="TableBodySmall"/>
              <w:jc w:val="center"/>
            </w:pPr>
          </w:p>
        </w:tc>
        <w:tc>
          <w:tcPr>
            <w:tcW w:w="2914" w:type="dxa"/>
            <w:shd w:val="clear" w:color="auto" w:fill="auto"/>
          </w:tcPr>
          <w:p w:rsidR="00C77E4F" w:rsidRPr="00057A3F" w:rsidRDefault="00C77E4F" w:rsidP="00970B69">
            <w:pPr>
              <w:pStyle w:val="TableBodySmall"/>
              <w:jc w:val="center"/>
            </w:pPr>
          </w:p>
        </w:tc>
      </w:tr>
      <w:tr w:rsidR="00C77E4F" w:rsidRPr="00057A3F" w:rsidTr="00970B69">
        <w:tc>
          <w:tcPr>
            <w:tcW w:w="1080" w:type="dxa"/>
            <w:shd w:val="clear" w:color="auto" w:fill="auto"/>
          </w:tcPr>
          <w:p w:rsidR="00C77E4F" w:rsidRPr="00057A3F" w:rsidRDefault="00C77E4F" w:rsidP="00970B69">
            <w:pPr>
              <w:pStyle w:val="TableBodySmall"/>
              <w:jc w:val="center"/>
            </w:pPr>
          </w:p>
        </w:tc>
        <w:tc>
          <w:tcPr>
            <w:tcW w:w="3960" w:type="dxa"/>
            <w:shd w:val="clear" w:color="auto" w:fill="auto"/>
          </w:tcPr>
          <w:p w:rsidR="00C77E4F" w:rsidRPr="00057A3F" w:rsidRDefault="00C77E4F" w:rsidP="00970B69">
            <w:pPr>
              <w:pStyle w:val="TableBodySmall"/>
            </w:pPr>
          </w:p>
        </w:tc>
        <w:tc>
          <w:tcPr>
            <w:tcW w:w="1260" w:type="dxa"/>
            <w:shd w:val="clear" w:color="auto" w:fill="auto"/>
          </w:tcPr>
          <w:p w:rsidR="00C77E4F" w:rsidRPr="00057A3F" w:rsidRDefault="00C77E4F" w:rsidP="00970B69">
            <w:pPr>
              <w:pStyle w:val="TableBodySmall"/>
              <w:jc w:val="center"/>
            </w:pPr>
          </w:p>
        </w:tc>
        <w:tc>
          <w:tcPr>
            <w:tcW w:w="2914" w:type="dxa"/>
            <w:shd w:val="clear" w:color="auto" w:fill="auto"/>
          </w:tcPr>
          <w:p w:rsidR="00C77E4F" w:rsidRPr="00057A3F" w:rsidRDefault="00C77E4F" w:rsidP="00970B69">
            <w:pPr>
              <w:pStyle w:val="TableBodySmall"/>
              <w:jc w:val="center"/>
            </w:pPr>
          </w:p>
        </w:tc>
      </w:tr>
      <w:tr w:rsidR="00C77E4F" w:rsidRPr="00057A3F" w:rsidTr="00970B69">
        <w:tc>
          <w:tcPr>
            <w:tcW w:w="1080" w:type="dxa"/>
            <w:shd w:val="clear" w:color="auto" w:fill="auto"/>
          </w:tcPr>
          <w:p w:rsidR="00C77E4F" w:rsidRPr="00057A3F" w:rsidRDefault="00C77E4F" w:rsidP="00970B69">
            <w:pPr>
              <w:pStyle w:val="TableBodySmall"/>
              <w:jc w:val="center"/>
            </w:pPr>
          </w:p>
        </w:tc>
        <w:tc>
          <w:tcPr>
            <w:tcW w:w="3960" w:type="dxa"/>
            <w:shd w:val="clear" w:color="auto" w:fill="auto"/>
          </w:tcPr>
          <w:p w:rsidR="00C77E4F" w:rsidRPr="00057A3F" w:rsidRDefault="00C77E4F" w:rsidP="00970B69">
            <w:pPr>
              <w:pStyle w:val="TableBodySmall"/>
            </w:pPr>
          </w:p>
        </w:tc>
        <w:tc>
          <w:tcPr>
            <w:tcW w:w="1260" w:type="dxa"/>
            <w:shd w:val="clear" w:color="auto" w:fill="auto"/>
          </w:tcPr>
          <w:p w:rsidR="00C77E4F" w:rsidRPr="00057A3F" w:rsidRDefault="00C77E4F" w:rsidP="00970B69">
            <w:pPr>
              <w:pStyle w:val="TableBodySmall"/>
              <w:jc w:val="center"/>
            </w:pPr>
          </w:p>
        </w:tc>
        <w:tc>
          <w:tcPr>
            <w:tcW w:w="2914" w:type="dxa"/>
            <w:shd w:val="clear" w:color="auto" w:fill="auto"/>
          </w:tcPr>
          <w:p w:rsidR="00C77E4F" w:rsidRPr="00057A3F" w:rsidRDefault="00C77E4F" w:rsidP="00970B69">
            <w:pPr>
              <w:pStyle w:val="TableBodySmall"/>
              <w:jc w:val="center"/>
            </w:pPr>
          </w:p>
        </w:tc>
      </w:tr>
      <w:tr w:rsidR="00C77E4F" w:rsidRPr="00057A3F" w:rsidTr="00970B69">
        <w:tc>
          <w:tcPr>
            <w:tcW w:w="1080" w:type="dxa"/>
            <w:shd w:val="clear" w:color="auto" w:fill="auto"/>
          </w:tcPr>
          <w:p w:rsidR="00C77E4F" w:rsidRPr="00057A3F" w:rsidRDefault="00C77E4F" w:rsidP="00970B69">
            <w:pPr>
              <w:pStyle w:val="TableBodySmall"/>
              <w:jc w:val="center"/>
            </w:pPr>
          </w:p>
        </w:tc>
        <w:tc>
          <w:tcPr>
            <w:tcW w:w="3960" w:type="dxa"/>
            <w:shd w:val="clear" w:color="auto" w:fill="auto"/>
          </w:tcPr>
          <w:p w:rsidR="00C77E4F" w:rsidRPr="00057A3F" w:rsidRDefault="00C77E4F" w:rsidP="00970B69">
            <w:pPr>
              <w:pStyle w:val="TableBodySmall"/>
            </w:pPr>
          </w:p>
        </w:tc>
        <w:tc>
          <w:tcPr>
            <w:tcW w:w="1260" w:type="dxa"/>
            <w:shd w:val="clear" w:color="auto" w:fill="auto"/>
          </w:tcPr>
          <w:p w:rsidR="00C77E4F" w:rsidRPr="00057A3F" w:rsidRDefault="00C77E4F" w:rsidP="00970B69">
            <w:pPr>
              <w:pStyle w:val="TableBodySmall"/>
              <w:jc w:val="center"/>
            </w:pPr>
          </w:p>
        </w:tc>
        <w:tc>
          <w:tcPr>
            <w:tcW w:w="2914" w:type="dxa"/>
            <w:shd w:val="clear" w:color="auto" w:fill="auto"/>
          </w:tcPr>
          <w:p w:rsidR="00C77E4F" w:rsidRPr="00057A3F" w:rsidRDefault="00C77E4F" w:rsidP="00970B69">
            <w:pPr>
              <w:pStyle w:val="TableBodySmall"/>
              <w:jc w:val="center"/>
            </w:pPr>
          </w:p>
        </w:tc>
      </w:tr>
      <w:tr w:rsidR="00C77E4F" w:rsidRPr="00057A3F" w:rsidTr="00970B69">
        <w:tc>
          <w:tcPr>
            <w:tcW w:w="1080" w:type="dxa"/>
            <w:shd w:val="clear" w:color="auto" w:fill="auto"/>
          </w:tcPr>
          <w:p w:rsidR="00C77E4F" w:rsidRPr="00057A3F" w:rsidRDefault="00C77E4F" w:rsidP="00970B69">
            <w:pPr>
              <w:pStyle w:val="TableBodySmall"/>
              <w:jc w:val="center"/>
            </w:pPr>
          </w:p>
        </w:tc>
        <w:tc>
          <w:tcPr>
            <w:tcW w:w="3960" w:type="dxa"/>
            <w:shd w:val="clear" w:color="auto" w:fill="auto"/>
          </w:tcPr>
          <w:p w:rsidR="00C77E4F" w:rsidRPr="00057A3F" w:rsidRDefault="00C77E4F" w:rsidP="00970B69">
            <w:pPr>
              <w:pStyle w:val="TableBodySmall"/>
            </w:pPr>
          </w:p>
        </w:tc>
        <w:tc>
          <w:tcPr>
            <w:tcW w:w="1260" w:type="dxa"/>
            <w:shd w:val="clear" w:color="auto" w:fill="auto"/>
          </w:tcPr>
          <w:p w:rsidR="00C77E4F" w:rsidRPr="00057A3F" w:rsidRDefault="00C77E4F" w:rsidP="00970B69">
            <w:pPr>
              <w:pStyle w:val="TableBodySmall"/>
              <w:jc w:val="center"/>
            </w:pPr>
          </w:p>
        </w:tc>
        <w:tc>
          <w:tcPr>
            <w:tcW w:w="2914" w:type="dxa"/>
            <w:shd w:val="clear" w:color="auto" w:fill="auto"/>
          </w:tcPr>
          <w:p w:rsidR="00C77E4F" w:rsidRPr="00057A3F" w:rsidRDefault="00C77E4F" w:rsidP="00970B69">
            <w:pPr>
              <w:pStyle w:val="TableBodySmall"/>
              <w:jc w:val="center"/>
            </w:pPr>
          </w:p>
        </w:tc>
      </w:tr>
    </w:tbl>
    <w:p w:rsidR="00C77E4F" w:rsidRDefault="00C77E4F" w:rsidP="00C77E4F"/>
    <w:p w:rsidR="00C77E4F" w:rsidRDefault="00C77E4F" w:rsidP="00E072BE">
      <w:pPr>
        <w:rPr>
          <w:rFonts w:ascii="Myriad Pro" w:hAnsi="Myriad Pro" w:cs="Arial"/>
          <w:b/>
          <w:color w:val="213A5E"/>
          <w:sz w:val="36"/>
          <w:szCs w:val="36"/>
        </w:rPr>
      </w:pPr>
    </w:p>
    <w:p w:rsidR="00043295" w:rsidRPr="00BF1338" w:rsidRDefault="00C77E4F" w:rsidP="00E072BE">
      <w:pPr>
        <w:rPr>
          <w:rFonts w:ascii="Myriad Pro" w:hAnsi="Myriad Pro" w:cs="Arial"/>
          <w:b/>
          <w:color w:val="213A5E"/>
          <w:sz w:val="36"/>
          <w:szCs w:val="36"/>
        </w:rPr>
      </w:pPr>
      <w:r>
        <w:rPr>
          <w:rFonts w:ascii="Myriad Pro" w:hAnsi="Myriad Pro" w:cs="Arial"/>
          <w:b/>
          <w:color w:val="213A5E"/>
          <w:sz w:val="36"/>
          <w:szCs w:val="36"/>
        </w:rPr>
        <w:br w:type="page"/>
      </w:r>
      <w:r w:rsidR="00BF1338" w:rsidRPr="00BF1338">
        <w:rPr>
          <w:rFonts w:ascii="Myriad Pro" w:hAnsi="Myriad Pro" w:cs="Arial"/>
          <w:b/>
          <w:color w:val="213A5E"/>
          <w:sz w:val="36"/>
          <w:szCs w:val="36"/>
        </w:rPr>
        <w:lastRenderedPageBreak/>
        <w:t>CONTENTS</w:t>
      </w:r>
    </w:p>
    <w:p w:rsidR="00BF1338" w:rsidRPr="00065CFA" w:rsidRDefault="00BF1338" w:rsidP="00E072BE">
      <w:pPr>
        <w:rPr>
          <w:rFonts w:ascii="Myriad Pro" w:hAnsi="Myriad Pro" w:cs="Arial"/>
          <w:b/>
          <w:color w:val="213A5E"/>
          <w:sz w:val="32"/>
          <w:szCs w:val="32"/>
        </w:rPr>
      </w:pPr>
    </w:p>
    <w:p w:rsidR="009F5F58" w:rsidRPr="009F5F58" w:rsidRDefault="00043295">
      <w:pPr>
        <w:pStyle w:val="TOC1"/>
        <w:tabs>
          <w:tab w:val="right" w:leader="dot" w:pos="9016"/>
        </w:tabs>
        <w:rPr>
          <w:rFonts w:ascii="Myriad Pro" w:eastAsiaTheme="minorEastAsia" w:hAnsi="Myriad Pro" w:cstheme="minorBidi"/>
          <w:noProof/>
          <w:color w:val="213A5E"/>
          <w:sz w:val="32"/>
          <w:szCs w:val="32"/>
          <w:lang w:eastAsia="en-GB"/>
        </w:rPr>
      </w:pPr>
      <w:r w:rsidRPr="009F5F58">
        <w:rPr>
          <w:rFonts w:ascii="Myriad Pro" w:hAnsi="Myriad Pro" w:cs="Arial"/>
          <w:b/>
          <w:color w:val="213A5E"/>
          <w:sz w:val="32"/>
          <w:szCs w:val="32"/>
        </w:rPr>
        <w:fldChar w:fldCharType="begin"/>
      </w:r>
      <w:r w:rsidRPr="009F5F58">
        <w:rPr>
          <w:rFonts w:ascii="Myriad Pro" w:hAnsi="Myriad Pro" w:cs="Arial"/>
          <w:b/>
          <w:color w:val="213A5E"/>
          <w:sz w:val="32"/>
          <w:szCs w:val="32"/>
        </w:rPr>
        <w:instrText xml:space="preserve"> TOC \o "1-3" \h \z \u </w:instrText>
      </w:r>
      <w:r w:rsidRPr="009F5F58">
        <w:rPr>
          <w:rFonts w:ascii="Myriad Pro" w:hAnsi="Myriad Pro" w:cs="Arial"/>
          <w:b/>
          <w:color w:val="213A5E"/>
          <w:sz w:val="32"/>
          <w:szCs w:val="32"/>
        </w:rPr>
        <w:fldChar w:fldCharType="separate"/>
      </w:r>
      <w:hyperlink w:anchor="_Toc432067335" w:history="1">
        <w:r w:rsidR="009F5F58" w:rsidRPr="009F5F58">
          <w:rPr>
            <w:rStyle w:val="Hyperlink"/>
            <w:rFonts w:ascii="Myriad Pro" w:hAnsi="Myriad Pro"/>
            <w:noProof/>
            <w:color w:val="213A5E"/>
            <w:sz w:val="32"/>
            <w:szCs w:val="32"/>
          </w:rPr>
          <w:t>SUMMARY</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_Toc432067335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5</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36" w:history="1">
        <w:r w:rsidR="009F5F58" w:rsidRPr="009F5F58">
          <w:rPr>
            <w:rStyle w:val="Hyperlink"/>
            <w:rFonts w:ascii="Myriad Pro" w:hAnsi="Myriad Pro"/>
            <w:noProof/>
            <w:color w:val="213A5E"/>
            <w:sz w:val="32"/>
            <w:szCs w:val="32"/>
          </w:rPr>
          <w:t>1. INTRODUCTION</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_Toc432067336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6</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37" w:history="1">
        <w:r w:rsidR="009F5F58" w:rsidRPr="009F5F58">
          <w:rPr>
            <w:rStyle w:val="Hyperlink"/>
            <w:rFonts w:ascii="Myriad Pro" w:hAnsi="Myriad Pro"/>
            <w:noProof/>
            <w:color w:val="213A5E"/>
            <w:sz w:val="32"/>
            <w:szCs w:val="32"/>
          </w:rPr>
          <w:t>2. ARCHAEOLOGICAL BACKGROUND</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_Toc432067337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7</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38" w:history="1">
        <w:r w:rsidR="009F5F58" w:rsidRPr="009F5F58">
          <w:rPr>
            <w:rStyle w:val="Hyperlink"/>
            <w:rFonts w:ascii="Myriad Pro" w:hAnsi="Myriad Pro"/>
            <w:noProof/>
            <w:color w:val="213A5E"/>
            <w:sz w:val="32"/>
            <w:szCs w:val="32"/>
          </w:rPr>
          <w:t>3. METHODOLOGY</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_Toc432067338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8</w:t>
        </w:r>
        <w:r w:rsidR="009F5F58" w:rsidRPr="009F5F58">
          <w:rPr>
            <w:rFonts w:ascii="Myriad Pro" w:hAnsi="Myriad Pro"/>
            <w:noProof/>
            <w:webHidden/>
            <w:color w:val="213A5E"/>
            <w:sz w:val="32"/>
            <w:szCs w:val="32"/>
          </w:rPr>
          <w:fldChar w:fldCharType="end"/>
        </w:r>
      </w:hyperlink>
    </w:p>
    <w:p w:rsidR="009F5F58" w:rsidRPr="009F5F58" w:rsidRDefault="00231E71">
      <w:pPr>
        <w:pStyle w:val="TOC2"/>
        <w:tabs>
          <w:tab w:val="right" w:leader="dot" w:pos="9016"/>
        </w:tabs>
        <w:rPr>
          <w:rFonts w:ascii="Myriad Pro" w:eastAsiaTheme="minorEastAsia" w:hAnsi="Myriad Pro" w:cstheme="minorBidi"/>
          <w:noProof/>
          <w:color w:val="213A5E"/>
          <w:sz w:val="32"/>
          <w:szCs w:val="32"/>
          <w:lang w:eastAsia="en-GB"/>
        </w:rPr>
      </w:pPr>
      <w:hyperlink w:anchor="_Toc432067339" w:history="1">
        <w:r w:rsidR="009F5F58" w:rsidRPr="009F5F58">
          <w:rPr>
            <w:rStyle w:val="Hyperlink"/>
            <w:rFonts w:ascii="Myriad Pro" w:hAnsi="Myriad Pro"/>
            <w:noProof/>
            <w:color w:val="213A5E"/>
            <w:sz w:val="32"/>
            <w:szCs w:val="32"/>
          </w:rPr>
          <w:t>3.1 Archaeological Watching Brief</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_Toc432067339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8</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40" w:history="1">
        <w:r w:rsidR="009F5F58" w:rsidRPr="009F5F58">
          <w:rPr>
            <w:rStyle w:val="Hyperlink"/>
            <w:rFonts w:ascii="Myriad Pro" w:hAnsi="Myriad Pro"/>
            <w:noProof/>
            <w:color w:val="213A5E"/>
            <w:sz w:val="32"/>
            <w:szCs w:val="32"/>
          </w:rPr>
          <w:t>4. RESULTS</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_Toc432067340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9</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41" w:history="1">
        <w:r w:rsidR="009F5F58" w:rsidRPr="009F5F58">
          <w:rPr>
            <w:rStyle w:val="Hyperlink"/>
            <w:rFonts w:ascii="Myriad Pro" w:hAnsi="Myriad Pro"/>
            <w:noProof/>
            <w:color w:val="213A5E"/>
            <w:sz w:val="32"/>
            <w:szCs w:val="32"/>
          </w:rPr>
          <w:t>5. DISCUSSION</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_Toc432067341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11</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42" w:history="1">
        <w:r w:rsidR="009F5F58" w:rsidRPr="009F5F58">
          <w:rPr>
            <w:rStyle w:val="Hyperlink"/>
            <w:rFonts w:ascii="Myriad Pro" w:hAnsi="Myriad Pro"/>
            <w:noProof/>
            <w:color w:val="213A5E"/>
            <w:sz w:val="32"/>
            <w:szCs w:val="32"/>
          </w:rPr>
          <w:t>6. CONCLUSION</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_Toc432067342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12</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43" w:history="1">
        <w:r w:rsidR="009F5F58" w:rsidRPr="009F5F58">
          <w:rPr>
            <w:rStyle w:val="Hyperlink"/>
            <w:rFonts w:ascii="Myriad Pro" w:hAnsi="Myriad Pro"/>
            <w:noProof/>
            <w:color w:val="213A5E"/>
            <w:sz w:val="32"/>
            <w:szCs w:val="32"/>
          </w:rPr>
          <w:t>7. SOURCES CONSULTED</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_Toc432067343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13</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44" w:history="1">
        <w:r w:rsidR="009F5F58" w:rsidRPr="009F5F58">
          <w:rPr>
            <w:rStyle w:val="Hyperlink"/>
            <w:rFonts w:ascii="Myriad Pro" w:hAnsi="Myriad Pro"/>
            <w:noProof/>
            <w:color w:val="213A5E"/>
            <w:sz w:val="32"/>
            <w:szCs w:val="32"/>
          </w:rPr>
          <w:t>Appendix I</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_Toc432067344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14</w:t>
        </w:r>
        <w:r w:rsidR="009F5F58" w:rsidRPr="009F5F58">
          <w:rPr>
            <w:rFonts w:ascii="Myriad Pro" w:hAnsi="Myriad Pro"/>
            <w:noProof/>
            <w:webHidden/>
            <w:color w:val="213A5E"/>
            <w:sz w:val="32"/>
            <w:szCs w:val="32"/>
          </w:rPr>
          <w:fldChar w:fldCharType="end"/>
        </w:r>
      </w:hyperlink>
    </w:p>
    <w:p w:rsidR="009F5F58" w:rsidRPr="009F5F58" w:rsidRDefault="00231E71">
      <w:pPr>
        <w:pStyle w:val="TOC1"/>
        <w:tabs>
          <w:tab w:val="right" w:leader="dot" w:pos="9016"/>
        </w:tabs>
        <w:rPr>
          <w:rFonts w:ascii="Myriad Pro" w:eastAsiaTheme="minorEastAsia" w:hAnsi="Myriad Pro" w:cstheme="minorBidi"/>
          <w:noProof/>
          <w:color w:val="213A5E"/>
          <w:sz w:val="32"/>
          <w:szCs w:val="32"/>
          <w:lang w:eastAsia="en-GB"/>
        </w:rPr>
      </w:pPr>
      <w:hyperlink w:anchor="_Toc432067345" w:history="1">
        <w:r w:rsidR="009F5F58" w:rsidRPr="009F5F58">
          <w:rPr>
            <w:rStyle w:val="Hyperlink"/>
            <w:rFonts w:ascii="Myriad Pro" w:hAnsi="Myriad Pro"/>
            <w:noProof/>
            <w:color w:val="213A5E"/>
            <w:sz w:val="32"/>
            <w:szCs w:val="32"/>
          </w:rPr>
          <w:t>Appendix II</w:t>
        </w:r>
        <w:r w:rsidR="009F5F58" w:rsidRPr="009F5F58">
          <w:rPr>
            <w:rFonts w:ascii="Myriad Pro" w:hAnsi="Myriad Pro"/>
            <w:noProof/>
            <w:webHidden/>
            <w:color w:val="213A5E"/>
            <w:sz w:val="32"/>
            <w:szCs w:val="32"/>
          </w:rPr>
          <w:tab/>
        </w:r>
        <w:r w:rsidR="009F5F58" w:rsidRPr="009F5F58">
          <w:rPr>
            <w:rFonts w:ascii="Myriad Pro" w:hAnsi="Myriad Pro"/>
            <w:noProof/>
            <w:webHidden/>
            <w:color w:val="213A5E"/>
            <w:sz w:val="32"/>
            <w:szCs w:val="32"/>
          </w:rPr>
          <w:fldChar w:fldCharType="begin"/>
        </w:r>
        <w:r w:rsidR="009F5F58" w:rsidRPr="009F5F58">
          <w:rPr>
            <w:rFonts w:ascii="Myriad Pro" w:hAnsi="Myriad Pro"/>
            <w:noProof/>
            <w:webHidden/>
            <w:color w:val="213A5E"/>
            <w:sz w:val="32"/>
            <w:szCs w:val="32"/>
          </w:rPr>
          <w:instrText xml:space="preserve"> PAGEREF _Toc432067345 \h </w:instrText>
        </w:r>
        <w:r w:rsidR="009F5F58" w:rsidRPr="009F5F58">
          <w:rPr>
            <w:rFonts w:ascii="Myriad Pro" w:hAnsi="Myriad Pro"/>
            <w:noProof/>
            <w:webHidden/>
            <w:color w:val="213A5E"/>
            <w:sz w:val="32"/>
            <w:szCs w:val="32"/>
          </w:rPr>
        </w:r>
        <w:r w:rsidR="009F5F58" w:rsidRPr="009F5F58">
          <w:rPr>
            <w:rFonts w:ascii="Myriad Pro" w:hAnsi="Myriad Pro"/>
            <w:noProof/>
            <w:webHidden/>
            <w:color w:val="213A5E"/>
            <w:sz w:val="32"/>
            <w:szCs w:val="32"/>
          </w:rPr>
          <w:fldChar w:fldCharType="separate"/>
        </w:r>
        <w:r w:rsidR="009F5F58" w:rsidRPr="009F5F58">
          <w:rPr>
            <w:rFonts w:ascii="Myriad Pro" w:hAnsi="Myriad Pro"/>
            <w:noProof/>
            <w:webHidden/>
            <w:color w:val="213A5E"/>
            <w:sz w:val="32"/>
            <w:szCs w:val="32"/>
          </w:rPr>
          <w:t>15</w:t>
        </w:r>
        <w:r w:rsidR="009F5F58" w:rsidRPr="009F5F58">
          <w:rPr>
            <w:rFonts w:ascii="Myriad Pro" w:hAnsi="Myriad Pro"/>
            <w:noProof/>
            <w:webHidden/>
            <w:color w:val="213A5E"/>
            <w:sz w:val="32"/>
            <w:szCs w:val="32"/>
          </w:rPr>
          <w:fldChar w:fldCharType="end"/>
        </w:r>
      </w:hyperlink>
    </w:p>
    <w:p w:rsidR="0074539C" w:rsidRPr="006D3754" w:rsidRDefault="00043295" w:rsidP="00932200">
      <w:pPr>
        <w:rPr>
          <w:rFonts w:ascii="Myriad Pro" w:hAnsi="Myriad Pro" w:cs="Arial"/>
          <w:b/>
          <w:color w:val="213A5E"/>
          <w:sz w:val="32"/>
          <w:szCs w:val="32"/>
        </w:rPr>
      </w:pPr>
      <w:r w:rsidRPr="009F5F58">
        <w:rPr>
          <w:rFonts w:ascii="Myriad Pro" w:hAnsi="Myriad Pro" w:cs="Arial"/>
          <w:b/>
          <w:color w:val="213A5E"/>
          <w:sz w:val="32"/>
          <w:szCs w:val="32"/>
        </w:rPr>
        <w:fldChar w:fldCharType="end"/>
      </w:r>
    </w:p>
    <w:p w:rsidR="00A73023" w:rsidRPr="00562A58" w:rsidRDefault="0074539C" w:rsidP="00A73023">
      <w:pPr>
        <w:rPr>
          <w:rFonts w:ascii="Myriad Pro" w:hAnsi="Myriad Pro"/>
          <w:b/>
          <w:color w:val="213A5E"/>
          <w:sz w:val="32"/>
          <w:szCs w:val="32"/>
        </w:rPr>
      </w:pPr>
      <w:r>
        <w:rPr>
          <w:rFonts w:ascii="Myriad Pro" w:hAnsi="Myriad Pro"/>
          <w:szCs w:val="28"/>
        </w:rPr>
        <w:br w:type="page"/>
      </w:r>
      <w:r w:rsidR="00A73023" w:rsidRPr="00562A58">
        <w:rPr>
          <w:rFonts w:ascii="Myriad Pro" w:hAnsi="Myriad Pro"/>
          <w:b/>
          <w:color w:val="213A5E"/>
          <w:sz w:val="32"/>
          <w:szCs w:val="32"/>
        </w:rPr>
        <w:lastRenderedPageBreak/>
        <w:t xml:space="preserve">Figure List </w:t>
      </w:r>
    </w:p>
    <w:p w:rsidR="00C44540" w:rsidRPr="00892FBE" w:rsidRDefault="00892FBE" w:rsidP="00892FBE">
      <w:pPr>
        <w:spacing w:before="240" w:after="240" w:line="276" w:lineRule="auto"/>
        <w:jc w:val="both"/>
        <w:rPr>
          <w:rFonts w:ascii="Myriad Pro" w:eastAsia="Calibri" w:hAnsi="Myriad Pro" w:cs="MyriadPro-Semibold"/>
          <w:color w:val="213A5E"/>
          <w:sz w:val="32"/>
          <w:szCs w:val="32"/>
          <w:lang w:eastAsia="en-GB"/>
        </w:rPr>
      </w:pPr>
      <w:r w:rsidRPr="00892FBE">
        <w:rPr>
          <w:rFonts w:ascii="Myriad Pro" w:eastAsia="Calibri" w:hAnsi="Myriad Pro" w:cs="MyriadPro-Semibold"/>
          <w:color w:val="213A5E"/>
          <w:sz w:val="32"/>
          <w:szCs w:val="32"/>
          <w:lang w:eastAsia="en-GB"/>
        </w:rPr>
        <w:t>Figure 01 - Reproduction of Client Drawing AL0</w:t>
      </w:r>
      <w:r>
        <w:rPr>
          <w:rFonts w:ascii="Myriad Pro" w:eastAsia="Calibri" w:hAnsi="Myriad Pro" w:cs="MyriadPro-Semibold"/>
          <w:color w:val="213A5E"/>
          <w:sz w:val="32"/>
          <w:szCs w:val="32"/>
          <w:lang w:eastAsia="en-GB"/>
        </w:rPr>
        <w:t>02 – Proposed Site Plan</w:t>
      </w:r>
      <w:r w:rsidR="00C44540" w:rsidRPr="00892FBE">
        <w:rPr>
          <w:rFonts w:ascii="Myriad Pro" w:eastAsia="Calibri" w:hAnsi="Myriad Pro" w:cs="MyriadPro-Semibold"/>
          <w:color w:val="213A5E"/>
          <w:sz w:val="32"/>
          <w:szCs w:val="32"/>
          <w:lang w:eastAsia="en-GB"/>
        </w:rPr>
        <w:t>;</w:t>
      </w:r>
    </w:p>
    <w:p w:rsidR="00C44540" w:rsidRPr="00892FBE" w:rsidRDefault="00892FBE" w:rsidP="00892FBE">
      <w:pPr>
        <w:autoSpaceDE w:val="0"/>
        <w:autoSpaceDN w:val="0"/>
        <w:adjustRightInd w:val="0"/>
        <w:spacing w:after="240"/>
        <w:jc w:val="both"/>
        <w:rPr>
          <w:rFonts w:ascii="Myriad Pro" w:eastAsia="Calibri" w:hAnsi="Myriad Pro" w:cs="MyriadPro-Semibold"/>
          <w:color w:val="213A5E"/>
          <w:sz w:val="32"/>
          <w:szCs w:val="32"/>
          <w:lang w:eastAsia="en-GB"/>
        </w:rPr>
      </w:pPr>
      <w:r w:rsidRPr="00892FBE">
        <w:rPr>
          <w:rFonts w:ascii="Myriad Pro" w:eastAsia="Calibri" w:hAnsi="Myriad Pro" w:cs="MyriadPro-Semibold"/>
          <w:color w:val="213A5E"/>
          <w:sz w:val="32"/>
          <w:szCs w:val="32"/>
          <w:lang w:eastAsia="en-GB"/>
        </w:rPr>
        <w:t xml:space="preserve">Figure 02 - Reproduction of Client </w:t>
      </w:r>
      <w:r>
        <w:rPr>
          <w:rFonts w:ascii="Myriad Pro" w:eastAsia="Calibri" w:hAnsi="Myriad Pro" w:cs="MyriadPro-Semibold"/>
          <w:color w:val="213A5E"/>
          <w:sz w:val="32"/>
          <w:szCs w:val="32"/>
          <w:lang w:eastAsia="en-GB"/>
        </w:rPr>
        <w:t>Rhug Hall Location Plan:</w:t>
      </w:r>
    </w:p>
    <w:p w:rsidR="00892FBE" w:rsidRDefault="00892FBE" w:rsidP="00892FBE">
      <w:pPr>
        <w:autoSpaceDE w:val="0"/>
        <w:autoSpaceDN w:val="0"/>
        <w:adjustRightInd w:val="0"/>
        <w:spacing w:after="240"/>
        <w:jc w:val="both"/>
        <w:rPr>
          <w:rFonts w:ascii="Myriad Pro" w:eastAsia="Calibri" w:hAnsi="Myriad Pro" w:cs="MyriadPro-Bold"/>
          <w:bCs/>
          <w:color w:val="213A5E"/>
          <w:sz w:val="32"/>
          <w:szCs w:val="32"/>
          <w:lang w:eastAsia="en-GB"/>
        </w:rPr>
      </w:pPr>
      <w:r w:rsidRPr="00892FBE">
        <w:rPr>
          <w:rFonts w:ascii="Myriad Pro" w:eastAsia="Calibri" w:hAnsi="Myriad Pro" w:cs="MyriadPro-Bold"/>
          <w:bCs/>
          <w:color w:val="213A5E"/>
          <w:sz w:val="32"/>
          <w:szCs w:val="32"/>
          <w:lang w:eastAsia="en-GB"/>
        </w:rPr>
        <w:t>Figure 03: Limit of Excavation. Reproduction of Client Drawing AL003, Ordnance Survey, (c) Crown Copyright 2015. All rights reserved. Licence Number 100022432.</w:t>
      </w:r>
    </w:p>
    <w:p w:rsidR="008830B5" w:rsidRDefault="008830B5" w:rsidP="00892FBE">
      <w:pPr>
        <w:autoSpaceDE w:val="0"/>
        <w:autoSpaceDN w:val="0"/>
        <w:adjustRightInd w:val="0"/>
        <w:spacing w:after="240"/>
        <w:jc w:val="both"/>
        <w:rPr>
          <w:rFonts w:ascii="Myriad Pro" w:eastAsia="Calibri" w:hAnsi="Myriad Pro" w:cs="MyriadPro-Bold"/>
          <w:bCs/>
          <w:color w:val="213A5E"/>
          <w:sz w:val="32"/>
          <w:szCs w:val="32"/>
          <w:lang w:eastAsia="en-GB"/>
        </w:rPr>
      </w:pPr>
      <w:r w:rsidRPr="008830B5">
        <w:rPr>
          <w:rFonts w:ascii="Myriad Pro" w:eastAsia="Calibri" w:hAnsi="Myriad Pro" w:cs="MyriadPro-Bold"/>
          <w:bCs/>
          <w:color w:val="213A5E"/>
          <w:sz w:val="32"/>
          <w:szCs w:val="32"/>
          <w:lang w:eastAsia="en-GB"/>
        </w:rPr>
        <w:t xml:space="preserve">Figure 04: Reproduction of the 1791 of the Lordship of </w:t>
      </w:r>
      <w:proofErr w:type="spellStart"/>
      <w:r w:rsidRPr="008830B5">
        <w:rPr>
          <w:rFonts w:ascii="Myriad Pro" w:eastAsia="Calibri" w:hAnsi="Myriad Pro" w:cs="MyriadPro-Bold"/>
          <w:bCs/>
          <w:color w:val="213A5E"/>
          <w:sz w:val="32"/>
          <w:szCs w:val="32"/>
          <w:lang w:eastAsia="en-GB"/>
        </w:rPr>
        <w:t>Glyn</w:t>
      </w:r>
      <w:r>
        <w:rPr>
          <w:rFonts w:ascii="Myriad Pro" w:eastAsia="Calibri" w:hAnsi="Myriad Pro" w:cs="MyriadPro-Bold"/>
          <w:bCs/>
          <w:color w:val="213A5E"/>
          <w:sz w:val="32"/>
          <w:szCs w:val="32"/>
          <w:lang w:eastAsia="en-GB"/>
        </w:rPr>
        <w:t>dyfrdwy</w:t>
      </w:r>
      <w:proofErr w:type="spellEnd"/>
      <w:r>
        <w:rPr>
          <w:rFonts w:ascii="Myriad Pro" w:eastAsia="Calibri" w:hAnsi="Myriad Pro" w:cs="MyriadPro-Bold"/>
          <w:bCs/>
          <w:color w:val="213A5E"/>
          <w:sz w:val="32"/>
          <w:szCs w:val="32"/>
          <w:lang w:eastAsia="en-GB"/>
        </w:rPr>
        <w:t xml:space="preserve"> and Manor of Rug </w:t>
      </w:r>
      <w:r w:rsidRPr="008830B5">
        <w:rPr>
          <w:rFonts w:ascii="Myriad Pro" w:eastAsia="Calibri" w:hAnsi="Myriad Pro" w:cs="MyriadPro-Bold"/>
          <w:bCs/>
          <w:color w:val="213A5E"/>
          <w:sz w:val="32"/>
          <w:szCs w:val="32"/>
          <w:lang w:eastAsia="en-GB"/>
        </w:rPr>
        <w:t xml:space="preserve">belonging to Edward Williams Vaughan </w:t>
      </w:r>
      <w:proofErr w:type="spellStart"/>
      <w:r w:rsidRPr="008830B5">
        <w:rPr>
          <w:rFonts w:ascii="Myriad Pro" w:eastAsia="Calibri" w:hAnsi="Myriad Pro" w:cs="MyriadPro-Bold"/>
          <w:bCs/>
          <w:color w:val="213A5E"/>
          <w:sz w:val="32"/>
          <w:szCs w:val="32"/>
          <w:lang w:eastAsia="en-GB"/>
        </w:rPr>
        <w:t>Salesbury</w:t>
      </w:r>
      <w:proofErr w:type="spellEnd"/>
      <w:r w:rsidRPr="008830B5">
        <w:rPr>
          <w:rFonts w:ascii="Myriad Pro" w:eastAsia="Calibri" w:hAnsi="Myriad Pro" w:cs="MyriadPro-Bold"/>
          <w:bCs/>
          <w:color w:val="213A5E"/>
          <w:sz w:val="32"/>
          <w:szCs w:val="32"/>
          <w:lang w:eastAsia="en-GB"/>
        </w:rPr>
        <w:t>. Not to scale.</w:t>
      </w:r>
    </w:p>
    <w:p w:rsidR="008830B5" w:rsidRDefault="008830B5" w:rsidP="00892FBE">
      <w:pPr>
        <w:autoSpaceDE w:val="0"/>
        <w:autoSpaceDN w:val="0"/>
        <w:adjustRightInd w:val="0"/>
        <w:spacing w:after="240"/>
        <w:jc w:val="both"/>
        <w:rPr>
          <w:rFonts w:ascii="Myriad Pro" w:eastAsia="Calibri" w:hAnsi="Myriad Pro" w:cs="MyriadPro-Bold"/>
          <w:bCs/>
          <w:color w:val="213A5E"/>
          <w:sz w:val="32"/>
          <w:szCs w:val="32"/>
          <w:lang w:eastAsia="en-GB"/>
        </w:rPr>
      </w:pPr>
      <w:r w:rsidRPr="008830B5">
        <w:rPr>
          <w:rFonts w:ascii="Myriad Pro" w:eastAsia="Calibri" w:hAnsi="Myriad Pro" w:cs="MyriadPro-Bold"/>
          <w:bCs/>
          <w:color w:val="213A5E"/>
          <w:sz w:val="32"/>
          <w:szCs w:val="32"/>
          <w:lang w:eastAsia="en-GB"/>
        </w:rPr>
        <w:t>Figure 05: Reproduction of the 1860 Map of part of the Rug Demesne. Not to scale.</w:t>
      </w:r>
    </w:p>
    <w:p w:rsidR="008830B5" w:rsidRPr="00892FBE" w:rsidRDefault="008830B5" w:rsidP="00892FBE">
      <w:pPr>
        <w:autoSpaceDE w:val="0"/>
        <w:autoSpaceDN w:val="0"/>
        <w:adjustRightInd w:val="0"/>
        <w:spacing w:after="240"/>
        <w:jc w:val="both"/>
        <w:rPr>
          <w:rFonts w:ascii="Myriad Pro" w:eastAsia="Calibri" w:hAnsi="Myriad Pro" w:cs="MyriadPro-Bold"/>
          <w:bCs/>
          <w:color w:val="213A5E"/>
          <w:sz w:val="32"/>
          <w:szCs w:val="32"/>
          <w:lang w:eastAsia="en-GB"/>
        </w:rPr>
      </w:pPr>
      <w:r w:rsidRPr="008830B5">
        <w:rPr>
          <w:rFonts w:ascii="Myriad Pro" w:eastAsia="Calibri" w:hAnsi="Myriad Pro" w:cs="MyriadPro-Bold"/>
          <w:bCs/>
          <w:color w:val="213A5E"/>
          <w:sz w:val="32"/>
          <w:szCs w:val="32"/>
          <w:lang w:eastAsia="en-GB"/>
        </w:rPr>
        <w:t xml:space="preserve">Figure 06: Reproduction of First Edition 25” County Series Ordnance Map (Merioneth. </w:t>
      </w:r>
      <w:proofErr w:type="gramStart"/>
      <w:r w:rsidRPr="008830B5">
        <w:rPr>
          <w:rFonts w:ascii="Myriad Pro" w:eastAsia="Calibri" w:hAnsi="Myriad Pro" w:cs="MyriadPro-Bold"/>
          <w:bCs/>
          <w:color w:val="213A5E"/>
          <w:sz w:val="32"/>
          <w:szCs w:val="32"/>
          <w:lang w:eastAsia="en-GB"/>
        </w:rPr>
        <w:t>VII. 16 1875).</w:t>
      </w:r>
      <w:proofErr w:type="gramEnd"/>
    </w:p>
    <w:p w:rsidR="00C44540" w:rsidRPr="00463706" w:rsidRDefault="00C44540" w:rsidP="00A73023">
      <w:pPr>
        <w:rPr>
          <w:rFonts w:ascii="Myriad Pro" w:hAnsi="Myriad Pro" w:cs="MyriadPro-Semibold"/>
          <w:color w:val="213A5E"/>
          <w:sz w:val="32"/>
          <w:szCs w:val="32"/>
        </w:rPr>
      </w:pPr>
    </w:p>
    <w:p w:rsidR="00A73023" w:rsidRPr="00562A58" w:rsidRDefault="00A73023" w:rsidP="00A73023">
      <w:pPr>
        <w:rPr>
          <w:rFonts w:ascii="Myriad Pro" w:hAnsi="Myriad Pro"/>
          <w:b/>
          <w:color w:val="213A5E"/>
          <w:sz w:val="32"/>
          <w:szCs w:val="32"/>
        </w:rPr>
      </w:pPr>
      <w:r w:rsidRPr="00562A58">
        <w:rPr>
          <w:rFonts w:ascii="Myriad Pro" w:hAnsi="Myriad Pro"/>
          <w:b/>
          <w:color w:val="213A5E"/>
          <w:sz w:val="32"/>
          <w:szCs w:val="32"/>
        </w:rPr>
        <w:t>Plate List</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r w:rsidRPr="006D3754">
        <w:rPr>
          <w:rFonts w:ascii="Myriad Pro" w:eastAsia="Calibri" w:hAnsi="Myriad Pro" w:cs="MyriadPro-Semibold"/>
          <w:color w:val="213A5E"/>
          <w:sz w:val="32"/>
          <w:szCs w:val="32"/>
          <w:lang w:eastAsia="en-GB"/>
        </w:rPr>
        <w:t>Plate 01: The northern &amp; eastern walls of the walled garden. Scale 1m, viewed from the north-west.</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02: The eastern wall of the walled garden.</w:t>
      </w:r>
      <w:proofErr w:type="gramEnd"/>
      <w:r w:rsidRPr="006D3754">
        <w:rPr>
          <w:rFonts w:ascii="Myriad Pro" w:eastAsia="Calibri" w:hAnsi="Myriad Pro" w:cs="MyriadPro-Semibold"/>
          <w:color w:val="213A5E"/>
          <w:sz w:val="32"/>
          <w:szCs w:val="32"/>
          <w:lang w:eastAsia="en-GB"/>
        </w:rPr>
        <w:t xml:space="preserve"> Scale 1m, viewed from the north-west.</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r w:rsidRPr="006D3754">
        <w:rPr>
          <w:rFonts w:ascii="Myriad Pro" w:eastAsia="Calibri" w:hAnsi="Myriad Pro" w:cs="MyriadPro-Semibold"/>
          <w:color w:val="213A5E"/>
          <w:sz w:val="32"/>
          <w:szCs w:val="32"/>
          <w:lang w:eastAsia="en-GB"/>
        </w:rPr>
        <w:t>Plate 03: Tree stumps along the base of the eastern wall. Scale 1m, viewed from the north-east.</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r w:rsidRPr="006D3754">
        <w:rPr>
          <w:rFonts w:ascii="Myriad Pro" w:eastAsia="Calibri" w:hAnsi="Myriad Pro" w:cs="MyriadPro-Semibold"/>
          <w:color w:val="213A5E"/>
          <w:sz w:val="32"/>
          <w:szCs w:val="32"/>
          <w:lang w:eastAsia="en-GB"/>
        </w:rPr>
        <w:t>Plate 04: Arch within the eastern wall. Scale 1m, viewed from the north-west.</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05: The southern wall of the walled garden.</w:t>
      </w:r>
      <w:proofErr w:type="gramEnd"/>
      <w:r w:rsidRPr="006D3754">
        <w:rPr>
          <w:rFonts w:ascii="Myriad Pro" w:eastAsia="Calibri" w:hAnsi="Myriad Pro" w:cs="MyriadPro-Semibold"/>
          <w:color w:val="213A5E"/>
          <w:sz w:val="32"/>
          <w:szCs w:val="32"/>
          <w:lang w:eastAsia="en-GB"/>
        </w:rPr>
        <w:t xml:space="preserve"> Scale 1m, viewed from the north-east.</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lastRenderedPageBreak/>
        <w:t>Plate 06: Re-built section of the southern wall.</w:t>
      </w:r>
      <w:proofErr w:type="gramEnd"/>
      <w:r w:rsidRPr="006D3754">
        <w:rPr>
          <w:rFonts w:ascii="Myriad Pro" w:eastAsia="Calibri" w:hAnsi="Myriad Pro" w:cs="MyriadPro-Semibold"/>
          <w:color w:val="213A5E"/>
          <w:sz w:val="32"/>
          <w:szCs w:val="32"/>
          <w:lang w:eastAsia="en-GB"/>
        </w:rPr>
        <w:t xml:space="preserve"> Scale 1m, viewed from the north-east.</w:t>
      </w:r>
    </w:p>
    <w:p w:rsidR="00DC748F" w:rsidRPr="006D3754" w:rsidRDefault="00DC748F" w:rsidP="00DC748F">
      <w:pPr>
        <w:autoSpaceDE w:val="0"/>
        <w:autoSpaceDN w:val="0"/>
        <w:adjustRightInd w:val="0"/>
        <w:rPr>
          <w:rFonts w:ascii="Myriad Pro" w:eastAsia="Calibri" w:hAnsi="Myriad Pro" w:cs="MyriadPro-Semibold"/>
          <w:color w:val="213A5E"/>
          <w:sz w:val="32"/>
          <w:szCs w:val="32"/>
          <w:lang w:eastAsia="en-GB"/>
        </w:rPr>
      </w:pPr>
    </w:p>
    <w:p w:rsidR="00DC748F" w:rsidRPr="006D3754" w:rsidRDefault="00DC748F" w:rsidP="00DC748F">
      <w:pPr>
        <w:autoSpaceDE w:val="0"/>
        <w:autoSpaceDN w:val="0"/>
        <w:adjustRightInd w:val="0"/>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07: Square in plan building.</w:t>
      </w:r>
      <w:proofErr w:type="gramEnd"/>
      <w:r w:rsidRPr="006D3754">
        <w:rPr>
          <w:rFonts w:ascii="Myriad Pro" w:eastAsia="Calibri" w:hAnsi="Myriad Pro" w:cs="MyriadPro-Semibold"/>
          <w:color w:val="213A5E"/>
          <w:sz w:val="32"/>
          <w:szCs w:val="32"/>
          <w:lang w:eastAsia="en-GB"/>
        </w:rPr>
        <w:t xml:space="preserve"> Scale 1m, viewed from the north.</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08: Pre-excavation shot of the interior of the walled garden.</w:t>
      </w:r>
      <w:proofErr w:type="gramEnd"/>
      <w:r w:rsidRPr="006D3754">
        <w:rPr>
          <w:rFonts w:ascii="Myriad Pro" w:eastAsia="Calibri" w:hAnsi="Myriad Pro" w:cs="MyriadPro-Semibold"/>
          <w:color w:val="213A5E"/>
          <w:sz w:val="32"/>
          <w:szCs w:val="32"/>
          <w:lang w:eastAsia="en-GB"/>
        </w:rPr>
        <w:t xml:space="preserve"> </w:t>
      </w:r>
      <w:proofErr w:type="gramStart"/>
      <w:r w:rsidRPr="006D3754">
        <w:rPr>
          <w:rFonts w:ascii="Myriad Pro" w:eastAsia="Calibri" w:hAnsi="Myriad Pro" w:cs="MyriadPro-Semibold"/>
          <w:color w:val="213A5E"/>
          <w:sz w:val="32"/>
          <w:szCs w:val="32"/>
          <w:lang w:eastAsia="en-GB"/>
        </w:rPr>
        <w:t>Viewed from the north-west.</w:t>
      </w:r>
      <w:proofErr w:type="gramEnd"/>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09: Location of a bonfire.</w:t>
      </w:r>
      <w:proofErr w:type="gramEnd"/>
      <w:r w:rsidRPr="006D3754">
        <w:rPr>
          <w:rFonts w:ascii="Myriad Pro" w:eastAsia="Calibri" w:hAnsi="Myriad Pro" w:cs="MyriadPro-Semibold"/>
          <w:color w:val="213A5E"/>
          <w:sz w:val="32"/>
          <w:szCs w:val="32"/>
          <w:lang w:eastAsia="en-GB"/>
        </w:rPr>
        <w:t xml:space="preserve"> Scale 1m, viewed from the south-west.</w:t>
      </w:r>
    </w:p>
    <w:p w:rsidR="00DC748F" w:rsidRPr="006D3754" w:rsidRDefault="00DC748F" w:rsidP="00D01314">
      <w:pPr>
        <w:autoSpaceDE w:val="0"/>
        <w:autoSpaceDN w:val="0"/>
        <w:adjustRightInd w:val="0"/>
        <w:spacing w:before="240" w:line="276" w:lineRule="auto"/>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10: Solar panels at eastern end of the walled garden.</w:t>
      </w:r>
      <w:proofErr w:type="gramEnd"/>
      <w:r w:rsidRPr="006D3754">
        <w:rPr>
          <w:rFonts w:ascii="Myriad Pro" w:eastAsia="Calibri" w:hAnsi="Myriad Pro" w:cs="MyriadPro-Semibold"/>
          <w:color w:val="213A5E"/>
          <w:sz w:val="32"/>
          <w:szCs w:val="32"/>
          <w:lang w:eastAsia="en-GB"/>
        </w:rPr>
        <w:t xml:space="preserve"> Scale 1m, viewed from the south-west.</w:t>
      </w:r>
    </w:p>
    <w:p w:rsidR="00DC748F" w:rsidRPr="006D3754" w:rsidRDefault="00DC748F" w:rsidP="004F744F">
      <w:pPr>
        <w:pStyle w:val="Heading1"/>
        <w:rPr>
          <w:rFonts w:ascii="Myriad Pro" w:eastAsia="Calibri" w:hAnsi="Myriad Pro" w:cs="MyriadPro-Semibold"/>
          <w:b w:val="0"/>
          <w:color w:val="213A5E"/>
          <w:sz w:val="32"/>
          <w:szCs w:val="32"/>
          <w:lang w:eastAsia="en-GB"/>
        </w:rPr>
      </w:pPr>
      <w:bookmarkStart w:id="2" w:name="_Toc432067303"/>
      <w:bookmarkStart w:id="3" w:name="_Toc432067333"/>
      <w:r w:rsidRPr="006D3754">
        <w:rPr>
          <w:rFonts w:ascii="Myriad Pro" w:eastAsia="Calibri" w:hAnsi="Myriad Pro" w:cs="MyriadPro-Semibold"/>
          <w:b w:val="0"/>
          <w:color w:val="213A5E"/>
          <w:sz w:val="32"/>
          <w:szCs w:val="32"/>
          <w:lang w:eastAsia="en-GB"/>
        </w:rPr>
        <w:t>Plate 11: Topsoil strip of tennis court. Scale 1m, viewed from the south-west.</w:t>
      </w:r>
      <w:bookmarkEnd w:id="2"/>
      <w:bookmarkEnd w:id="3"/>
    </w:p>
    <w:p w:rsidR="00DC748F" w:rsidRPr="006D3754" w:rsidRDefault="00DC748F" w:rsidP="004F744F">
      <w:pPr>
        <w:pStyle w:val="Heading1"/>
        <w:rPr>
          <w:rFonts w:ascii="Myriad Pro" w:eastAsia="Calibri" w:hAnsi="Myriad Pro" w:cs="MyriadPro-Semibold"/>
          <w:b w:val="0"/>
          <w:color w:val="213A5E"/>
          <w:sz w:val="32"/>
          <w:szCs w:val="32"/>
          <w:lang w:eastAsia="en-GB"/>
        </w:rPr>
      </w:pPr>
      <w:bookmarkStart w:id="4" w:name="_Toc432067304"/>
      <w:bookmarkStart w:id="5" w:name="_Toc432067334"/>
      <w:proofErr w:type="gramStart"/>
      <w:r w:rsidRPr="006D3754">
        <w:rPr>
          <w:rFonts w:ascii="Myriad Pro" w:eastAsia="Calibri" w:hAnsi="Myriad Pro" w:cs="MyriadPro-Semibold"/>
          <w:b w:val="0"/>
          <w:color w:val="213A5E"/>
          <w:sz w:val="32"/>
          <w:szCs w:val="32"/>
          <w:lang w:eastAsia="en-GB"/>
        </w:rPr>
        <w:t>Plate 12: Garden path, context [003].</w:t>
      </w:r>
      <w:proofErr w:type="gramEnd"/>
      <w:r w:rsidRPr="006D3754">
        <w:rPr>
          <w:rFonts w:ascii="Myriad Pro" w:eastAsia="Calibri" w:hAnsi="Myriad Pro" w:cs="MyriadPro-Semibold"/>
          <w:b w:val="0"/>
          <w:color w:val="213A5E"/>
          <w:sz w:val="32"/>
          <w:szCs w:val="32"/>
          <w:lang w:eastAsia="en-GB"/>
        </w:rPr>
        <w:t xml:space="preserve"> Scale 1m, viewed from the south-east.</w:t>
      </w:r>
      <w:bookmarkEnd w:id="4"/>
      <w:bookmarkEnd w:id="5"/>
    </w:p>
    <w:p w:rsidR="00DC748F" w:rsidRPr="006D3754" w:rsidRDefault="00DC748F" w:rsidP="006D3754">
      <w:pPr>
        <w:spacing w:before="240"/>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13: Section through contexts [001], [003] &amp; [006].</w:t>
      </w:r>
      <w:proofErr w:type="gramEnd"/>
      <w:r w:rsidRPr="006D3754">
        <w:rPr>
          <w:rFonts w:ascii="Myriad Pro" w:eastAsia="Calibri" w:hAnsi="Myriad Pro" w:cs="MyriadPro-Semibold"/>
          <w:color w:val="213A5E"/>
          <w:sz w:val="32"/>
          <w:szCs w:val="32"/>
          <w:lang w:eastAsia="en-GB"/>
        </w:rPr>
        <w:t xml:space="preserve"> Scale 1m, viewed from the north-east.</w:t>
      </w:r>
    </w:p>
    <w:p w:rsidR="00DC748F" w:rsidRPr="006D3754" w:rsidRDefault="00DC748F" w:rsidP="006D3754">
      <w:pPr>
        <w:spacing w:before="240"/>
        <w:rPr>
          <w:rFonts w:ascii="Myriad Pro" w:eastAsia="Calibri" w:hAnsi="Myriad Pro" w:cs="MyriadPro-Semibold"/>
          <w:color w:val="213A5E"/>
          <w:sz w:val="32"/>
          <w:szCs w:val="32"/>
          <w:lang w:eastAsia="en-GB"/>
        </w:rPr>
      </w:pPr>
      <w:proofErr w:type="gramStart"/>
      <w:r w:rsidRPr="006D3754">
        <w:rPr>
          <w:rFonts w:ascii="Myriad Pro" w:eastAsia="Calibri" w:hAnsi="Myriad Pro" w:cs="MyriadPro-Semibold"/>
          <w:color w:val="213A5E"/>
          <w:sz w:val="32"/>
          <w:szCs w:val="32"/>
          <w:lang w:eastAsia="en-GB"/>
        </w:rPr>
        <w:t>Plate 14: Route of garden path, context [004].</w:t>
      </w:r>
      <w:proofErr w:type="gramEnd"/>
      <w:r w:rsidRPr="006D3754">
        <w:rPr>
          <w:rFonts w:ascii="Myriad Pro" w:eastAsia="Calibri" w:hAnsi="Myriad Pro" w:cs="MyriadPro-Semibold"/>
          <w:color w:val="213A5E"/>
          <w:sz w:val="32"/>
          <w:szCs w:val="32"/>
          <w:lang w:eastAsia="en-GB"/>
        </w:rPr>
        <w:t xml:space="preserve"> Scale 1m, viewed from the south-west.</w:t>
      </w:r>
    </w:p>
    <w:p w:rsidR="00DC748F" w:rsidRPr="006D3754" w:rsidRDefault="00DC748F" w:rsidP="006D3754">
      <w:pPr>
        <w:spacing w:before="240"/>
        <w:rPr>
          <w:rFonts w:ascii="Myriad Pro" w:eastAsia="Calibri" w:hAnsi="Myriad Pro" w:cs="MyriadPro-Semibold"/>
          <w:color w:val="213A5E"/>
          <w:sz w:val="32"/>
          <w:szCs w:val="32"/>
          <w:lang w:eastAsia="en-GB"/>
        </w:rPr>
      </w:pPr>
      <w:r w:rsidRPr="006D3754">
        <w:rPr>
          <w:rFonts w:ascii="Myriad Pro" w:eastAsia="Calibri" w:hAnsi="Myriad Pro" w:cs="MyriadPro-Semibold"/>
          <w:color w:val="213A5E"/>
          <w:sz w:val="32"/>
          <w:szCs w:val="32"/>
          <w:lang w:eastAsia="en-GB"/>
        </w:rPr>
        <w:t>Plate 15: Area of tennis court stripped of subsoil, viewed from the west.</w:t>
      </w:r>
    </w:p>
    <w:p w:rsidR="00DC748F" w:rsidRPr="006D3754" w:rsidRDefault="00DC748F" w:rsidP="006D3754">
      <w:pPr>
        <w:spacing w:before="240"/>
        <w:rPr>
          <w:rFonts w:ascii="Myriad Pro" w:eastAsia="Calibri" w:hAnsi="Myriad Pro"/>
          <w:color w:val="213A5E"/>
          <w:sz w:val="32"/>
          <w:szCs w:val="32"/>
          <w:lang w:eastAsia="en-GB"/>
        </w:rPr>
      </w:pPr>
      <w:r w:rsidRPr="006D3754">
        <w:rPr>
          <w:rFonts w:ascii="Myriad Pro" w:eastAsia="Calibri" w:hAnsi="Myriad Pro" w:cs="MyriadPro-Semibold"/>
          <w:color w:val="213A5E"/>
          <w:sz w:val="32"/>
          <w:szCs w:val="32"/>
          <w:lang w:eastAsia="en-GB"/>
        </w:rPr>
        <w:t>Plate 16: Area of tennis court levelled, viewed from the south-east.</w:t>
      </w:r>
    </w:p>
    <w:p w:rsidR="0074539C" w:rsidRPr="00A40B0E" w:rsidRDefault="00A73023" w:rsidP="004F744F">
      <w:pPr>
        <w:pStyle w:val="Heading1"/>
      </w:pPr>
      <w:r>
        <w:rPr>
          <w:rFonts w:ascii="Myriad Pro" w:hAnsi="Myriad Pro"/>
        </w:rPr>
        <w:br w:type="page"/>
      </w:r>
      <w:bookmarkStart w:id="6" w:name="_Toc432067335"/>
      <w:r w:rsidR="00A40B0E" w:rsidRPr="00A40B0E">
        <w:lastRenderedPageBreak/>
        <w:t>SUMMARY</w:t>
      </w:r>
      <w:bookmarkEnd w:id="6"/>
    </w:p>
    <w:p w:rsidR="00FC4FEF" w:rsidRDefault="00932200" w:rsidP="00FC3ECF">
      <w:pPr>
        <w:spacing w:before="240" w:line="276" w:lineRule="auto"/>
        <w:jc w:val="both"/>
        <w:rPr>
          <w:rFonts w:ascii="Arial" w:hAnsi="Arial" w:cs="Arial"/>
          <w:i/>
          <w:sz w:val="22"/>
          <w:szCs w:val="22"/>
        </w:rPr>
      </w:pPr>
      <w:r w:rsidRPr="001B63BF">
        <w:rPr>
          <w:rFonts w:ascii="Arial" w:hAnsi="Arial" w:cs="Arial"/>
          <w:i/>
          <w:sz w:val="22"/>
          <w:szCs w:val="22"/>
        </w:rPr>
        <w:t>Gwynedd Archaeological Trust (GAT) was asked by</w:t>
      </w:r>
      <w:r w:rsidR="00870C87">
        <w:rPr>
          <w:rFonts w:ascii="Arial" w:hAnsi="Arial" w:cs="Arial"/>
          <w:i/>
          <w:sz w:val="22"/>
          <w:szCs w:val="22"/>
        </w:rPr>
        <w:t xml:space="preserve"> Cadnant Planning, on behalf of the Rhug Estate, to conduct</w:t>
      </w:r>
      <w:r w:rsidRPr="001B63BF">
        <w:rPr>
          <w:rFonts w:ascii="Arial" w:hAnsi="Arial" w:cs="Arial"/>
          <w:i/>
          <w:sz w:val="22"/>
          <w:szCs w:val="22"/>
        </w:rPr>
        <w:t xml:space="preserve"> </w:t>
      </w:r>
      <w:r w:rsidR="00970B69">
        <w:rPr>
          <w:rFonts w:ascii="Arial" w:hAnsi="Arial" w:cs="Arial"/>
          <w:i/>
          <w:sz w:val="22"/>
          <w:szCs w:val="22"/>
        </w:rPr>
        <w:t xml:space="preserve">an archaeological watching </w:t>
      </w:r>
      <w:r w:rsidR="00870C87">
        <w:rPr>
          <w:rFonts w:ascii="Arial" w:hAnsi="Arial" w:cs="Arial"/>
          <w:i/>
          <w:sz w:val="22"/>
          <w:szCs w:val="22"/>
        </w:rPr>
        <w:t>brief of ground</w:t>
      </w:r>
      <w:r w:rsidR="00970B69">
        <w:rPr>
          <w:rFonts w:ascii="Arial" w:hAnsi="Arial" w:cs="Arial"/>
          <w:i/>
          <w:sz w:val="22"/>
          <w:szCs w:val="22"/>
        </w:rPr>
        <w:t xml:space="preserve"> works</w:t>
      </w:r>
      <w:r w:rsidR="00870C87">
        <w:rPr>
          <w:rFonts w:ascii="Arial" w:hAnsi="Arial" w:cs="Arial"/>
          <w:i/>
          <w:sz w:val="22"/>
          <w:szCs w:val="22"/>
        </w:rPr>
        <w:t xml:space="preserve"> associated with the construction of a tennis court within the western half of the former walled garden at Rhug (PRN 80574) located to the immediate south west of the Grade II* listed Rhug Park House</w:t>
      </w:r>
      <w:r w:rsidR="00535587">
        <w:rPr>
          <w:rFonts w:ascii="Arial" w:hAnsi="Arial" w:cs="Arial"/>
          <w:i/>
          <w:sz w:val="22"/>
          <w:szCs w:val="22"/>
        </w:rPr>
        <w:t>, Corwen, Denbighshire</w:t>
      </w:r>
      <w:r w:rsidR="00870C87">
        <w:rPr>
          <w:rFonts w:ascii="Arial" w:hAnsi="Arial" w:cs="Arial"/>
          <w:i/>
          <w:sz w:val="22"/>
          <w:szCs w:val="22"/>
        </w:rPr>
        <w:t xml:space="preserve"> (PRN 25660; centred on NGR </w:t>
      </w:r>
      <w:r w:rsidR="00870C87">
        <w:rPr>
          <w:rFonts w:ascii="Arial" w:hAnsi="Arial" w:cs="Arial"/>
          <w:b/>
          <w:i/>
          <w:sz w:val="22"/>
          <w:szCs w:val="22"/>
        </w:rPr>
        <w:t>SJ0554 4400</w:t>
      </w:r>
      <w:r w:rsidR="00870C87">
        <w:rPr>
          <w:rFonts w:ascii="Arial" w:hAnsi="Arial" w:cs="Arial"/>
          <w:i/>
          <w:sz w:val="22"/>
          <w:szCs w:val="22"/>
        </w:rPr>
        <w:t>).</w:t>
      </w:r>
      <w:r w:rsidRPr="001B63BF">
        <w:rPr>
          <w:rFonts w:ascii="Arial" w:hAnsi="Arial" w:cs="Arial"/>
          <w:i/>
          <w:sz w:val="22"/>
          <w:szCs w:val="22"/>
        </w:rPr>
        <w:t xml:space="preserve"> </w:t>
      </w:r>
    </w:p>
    <w:p w:rsidR="00870C87" w:rsidRDefault="00870C87" w:rsidP="00FC3ECF">
      <w:pPr>
        <w:spacing w:before="240" w:line="276" w:lineRule="auto"/>
        <w:jc w:val="both"/>
        <w:rPr>
          <w:rFonts w:ascii="Arial" w:hAnsi="Arial" w:cs="Arial"/>
          <w:i/>
          <w:sz w:val="22"/>
          <w:szCs w:val="22"/>
        </w:rPr>
      </w:pPr>
      <w:r>
        <w:rPr>
          <w:rFonts w:ascii="Arial" w:hAnsi="Arial" w:cs="Arial"/>
          <w:i/>
          <w:sz w:val="22"/>
          <w:szCs w:val="22"/>
        </w:rPr>
        <w:t xml:space="preserve">The archaeological watching brief identified and recorded two garden paths, contexts [003] and [004] that were associated with the walled garden and documented the sections of the walled garden that will be partially </w:t>
      </w:r>
      <w:r w:rsidR="00B11319">
        <w:rPr>
          <w:rFonts w:ascii="Arial" w:hAnsi="Arial" w:cs="Arial"/>
          <w:i/>
          <w:sz w:val="22"/>
          <w:szCs w:val="22"/>
        </w:rPr>
        <w:t>obscured</w:t>
      </w:r>
      <w:r>
        <w:rPr>
          <w:rFonts w:ascii="Arial" w:hAnsi="Arial" w:cs="Arial"/>
          <w:i/>
          <w:sz w:val="22"/>
          <w:szCs w:val="22"/>
        </w:rPr>
        <w:t xml:space="preserve"> by 3m high </w:t>
      </w:r>
      <w:r w:rsidR="00B11319">
        <w:rPr>
          <w:rFonts w:ascii="Arial" w:hAnsi="Arial" w:cs="Arial"/>
          <w:i/>
          <w:sz w:val="22"/>
          <w:szCs w:val="22"/>
        </w:rPr>
        <w:t xml:space="preserve">chain link fencing erected around the perimeter of the tennis court. </w:t>
      </w:r>
    </w:p>
    <w:p w:rsidR="0074539C" w:rsidRPr="001A1E2C" w:rsidRDefault="00043295" w:rsidP="004F744F">
      <w:pPr>
        <w:pStyle w:val="Heading1"/>
      </w:pPr>
      <w:r w:rsidRPr="00E210A3">
        <w:br w:type="page"/>
      </w:r>
      <w:bookmarkStart w:id="7" w:name="_Toc432067336"/>
      <w:bookmarkEnd w:id="0"/>
      <w:r w:rsidR="0074539C">
        <w:lastRenderedPageBreak/>
        <w:t>1</w:t>
      </w:r>
      <w:r w:rsidR="0074539C" w:rsidRPr="001A1E2C">
        <w:t xml:space="preserve">. </w:t>
      </w:r>
      <w:r w:rsidR="0074539C">
        <w:t>INTRODUCTION</w:t>
      </w:r>
      <w:bookmarkEnd w:id="7"/>
    </w:p>
    <w:p w:rsidR="007D1F7F" w:rsidRDefault="007D1F7F" w:rsidP="007D1F7F">
      <w:pPr>
        <w:spacing w:after="240" w:line="276" w:lineRule="auto"/>
        <w:jc w:val="both"/>
        <w:rPr>
          <w:rFonts w:ascii="Arial" w:hAnsi="Arial" w:cs="Arial"/>
          <w:sz w:val="22"/>
          <w:szCs w:val="22"/>
        </w:rPr>
      </w:pPr>
      <w:r w:rsidRPr="007D1F7F">
        <w:rPr>
          <w:rFonts w:ascii="Arial" w:hAnsi="Arial" w:cs="Arial"/>
          <w:sz w:val="22"/>
          <w:szCs w:val="22"/>
        </w:rPr>
        <w:t>Gwynedd Archaeological Trust (GAT) was asked by Cadnant Planning, on behalf of the Rhug Estate, to conduct an archaeological watching brief of ground works associated with the construction of a tennis court within the western half of the former walled garden at Rhug (PRN 80574) located to the immediate south west</w:t>
      </w:r>
      <w:r>
        <w:rPr>
          <w:rFonts w:ascii="Arial" w:hAnsi="Arial" w:cs="Arial"/>
          <w:sz w:val="22"/>
          <w:szCs w:val="22"/>
        </w:rPr>
        <w:t xml:space="preserve"> (Figure 01)</w:t>
      </w:r>
      <w:r w:rsidRPr="007D1F7F">
        <w:rPr>
          <w:rFonts w:ascii="Arial" w:hAnsi="Arial" w:cs="Arial"/>
          <w:sz w:val="22"/>
          <w:szCs w:val="22"/>
        </w:rPr>
        <w:t xml:space="preserve"> of the Grade II* listed Rhug Park House</w:t>
      </w:r>
      <w:r w:rsidR="00535587">
        <w:rPr>
          <w:rFonts w:ascii="Arial" w:hAnsi="Arial" w:cs="Arial"/>
          <w:sz w:val="22"/>
          <w:szCs w:val="22"/>
        </w:rPr>
        <w:t>, Corwen, Denbighshire</w:t>
      </w:r>
      <w:r w:rsidRPr="007D1F7F">
        <w:rPr>
          <w:rFonts w:ascii="Arial" w:hAnsi="Arial" w:cs="Arial"/>
          <w:sz w:val="22"/>
          <w:szCs w:val="22"/>
        </w:rPr>
        <w:t xml:space="preserve"> (PRN 25660; centred on NGR </w:t>
      </w:r>
      <w:r w:rsidRPr="007D1F7F">
        <w:rPr>
          <w:rFonts w:ascii="Arial" w:hAnsi="Arial" w:cs="Arial"/>
          <w:b/>
          <w:sz w:val="22"/>
          <w:szCs w:val="22"/>
        </w:rPr>
        <w:t>SJ0554 4400</w:t>
      </w:r>
      <w:r w:rsidRPr="007D1F7F">
        <w:rPr>
          <w:rFonts w:ascii="Arial" w:hAnsi="Arial" w:cs="Arial"/>
          <w:sz w:val="22"/>
          <w:szCs w:val="22"/>
        </w:rPr>
        <w:t xml:space="preserve">). </w:t>
      </w:r>
      <w:r w:rsidR="00A67516">
        <w:rPr>
          <w:rFonts w:ascii="Arial" w:hAnsi="Arial" w:cs="Arial"/>
          <w:sz w:val="22"/>
          <w:szCs w:val="22"/>
        </w:rPr>
        <w:t>T</w:t>
      </w:r>
      <w:r w:rsidR="00BF4103">
        <w:rPr>
          <w:rFonts w:ascii="Arial" w:hAnsi="Arial" w:cs="Arial"/>
          <w:sz w:val="22"/>
          <w:szCs w:val="22"/>
        </w:rPr>
        <w:t xml:space="preserve">he archaeological </w:t>
      </w:r>
      <w:r>
        <w:rPr>
          <w:rFonts w:ascii="Arial" w:hAnsi="Arial" w:cs="Arial"/>
          <w:sz w:val="22"/>
          <w:szCs w:val="22"/>
        </w:rPr>
        <w:t>watching brief was</w:t>
      </w:r>
      <w:r w:rsidR="00BF4103">
        <w:rPr>
          <w:rFonts w:ascii="Arial" w:hAnsi="Arial" w:cs="Arial"/>
          <w:sz w:val="22"/>
          <w:szCs w:val="22"/>
        </w:rPr>
        <w:t xml:space="preserve"> undertaken</w:t>
      </w:r>
      <w:r w:rsidR="00A67516">
        <w:rPr>
          <w:rFonts w:ascii="Arial" w:hAnsi="Arial" w:cs="Arial"/>
          <w:sz w:val="22"/>
          <w:szCs w:val="22"/>
        </w:rPr>
        <w:t xml:space="preserve"> as outlined in the</w:t>
      </w:r>
      <w:r w:rsidR="00B32343">
        <w:rPr>
          <w:rFonts w:ascii="Arial" w:hAnsi="Arial" w:cs="Arial"/>
          <w:sz w:val="22"/>
          <w:szCs w:val="22"/>
        </w:rPr>
        <w:t xml:space="preserve"> approved</w:t>
      </w:r>
      <w:r w:rsidR="00A67516">
        <w:rPr>
          <w:rFonts w:ascii="Arial" w:hAnsi="Arial" w:cs="Arial"/>
          <w:sz w:val="22"/>
          <w:szCs w:val="22"/>
        </w:rPr>
        <w:t xml:space="preserve"> GAT project design (Appendix I).</w:t>
      </w:r>
      <w:r w:rsidR="00645C8E" w:rsidRPr="00C13054">
        <w:rPr>
          <w:rFonts w:ascii="Arial" w:hAnsi="Arial" w:cs="Arial"/>
          <w:sz w:val="22"/>
          <w:szCs w:val="22"/>
        </w:rPr>
        <w:t xml:space="preserve"> </w:t>
      </w:r>
    </w:p>
    <w:p w:rsidR="00BF4103" w:rsidRDefault="007D1F7F" w:rsidP="007D1F7F">
      <w:pPr>
        <w:spacing w:after="240" w:line="276" w:lineRule="auto"/>
        <w:jc w:val="both"/>
        <w:rPr>
          <w:rFonts w:ascii="Arial" w:hAnsi="Arial" w:cs="Arial"/>
          <w:sz w:val="22"/>
          <w:szCs w:val="22"/>
        </w:rPr>
      </w:pPr>
      <w:r>
        <w:rPr>
          <w:rFonts w:ascii="Arial" w:hAnsi="Arial" w:cs="Arial"/>
          <w:sz w:val="22"/>
          <w:szCs w:val="22"/>
        </w:rPr>
        <w:t>The archaeological watching brief</w:t>
      </w:r>
      <w:r w:rsidR="00BF4103">
        <w:rPr>
          <w:rFonts w:ascii="Arial" w:hAnsi="Arial" w:cs="Arial"/>
          <w:sz w:val="22"/>
          <w:szCs w:val="22"/>
        </w:rPr>
        <w:t xml:space="preserve"> was conducted on </w:t>
      </w:r>
      <w:r>
        <w:rPr>
          <w:rFonts w:ascii="Arial" w:hAnsi="Arial" w:cs="Arial"/>
          <w:sz w:val="22"/>
          <w:szCs w:val="22"/>
        </w:rPr>
        <w:t>10</w:t>
      </w:r>
      <w:r w:rsidR="00017F7C" w:rsidRPr="00017F7C">
        <w:rPr>
          <w:rFonts w:ascii="Arial" w:hAnsi="Arial" w:cs="Arial"/>
          <w:sz w:val="22"/>
          <w:szCs w:val="22"/>
          <w:vertAlign w:val="superscript"/>
        </w:rPr>
        <w:t>th</w:t>
      </w:r>
      <w:r w:rsidR="00017F7C">
        <w:rPr>
          <w:rFonts w:ascii="Arial" w:hAnsi="Arial" w:cs="Arial"/>
          <w:sz w:val="22"/>
          <w:szCs w:val="22"/>
          <w:vertAlign w:val="superscript"/>
        </w:rPr>
        <w:t xml:space="preserve"> </w:t>
      </w:r>
      <w:r>
        <w:rPr>
          <w:rFonts w:ascii="Arial" w:hAnsi="Arial" w:cs="Arial"/>
          <w:sz w:val="22"/>
          <w:szCs w:val="22"/>
        </w:rPr>
        <w:t>and 11</w:t>
      </w:r>
      <w:r w:rsidR="00017F7C" w:rsidRPr="00017F7C">
        <w:rPr>
          <w:rFonts w:ascii="Arial" w:hAnsi="Arial" w:cs="Arial"/>
          <w:sz w:val="22"/>
          <w:szCs w:val="22"/>
          <w:vertAlign w:val="superscript"/>
        </w:rPr>
        <w:t>th</w:t>
      </w:r>
      <w:r w:rsidR="00017F7C">
        <w:rPr>
          <w:rFonts w:ascii="Arial" w:hAnsi="Arial" w:cs="Arial"/>
          <w:sz w:val="22"/>
          <w:szCs w:val="22"/>
        </w:rPr>
        <w:t xml:space="preserve"> </w:t>
      </w:r>
      <w:r>
        <w:rPr>
          <w:rFonts w:ascii="Arial" w:hAnsi="Arial" w:cs="Arial"/>
          <w:sz w:val="22"/>
          <w:szCs w:val="22"/>
        </w:rPr>
        <w:t>September</w:t>
      </w:r>
      <w:r w:rsidR="008F4BA2">
        <w:rPr>
          <w:rFonts w:ascii="Arial" w:hAnsi="Arial" w:cs="Arial"/>
          <w:sz w:val="22"/>
          <w:szCs w:val="22"/>
        </w:rPr>
        <w:t xml:space="preserve"> 2015</w:t>
      </w:r>
      <w:r>
        <w:rPr>
          <w:rFonts w:ascii="Arial" w:hAnsi="Arial" w:cs="Arial"/>
          <w:sz w:val="22"/>
          <w:szCs w:val="22"/>
        </w:rPr>
        <w:t>.</w:t>
      </w:r>
      <w:r w:rsidR="008F4BA2">
        <w:rPr>
          <w:rFonts w:ascii="Arial" w:hAnsi="Arial" w:cs="Arial"/>
          <w:sz w:val="22"/>
          <w:szCs w:val="22"/>
        </w:rPr>
        <w:t xml:space="preserve"> </w:t>
      </w:r>
    </w:p>
    <w:p w:rsidR="00645C8E" w:rsidRPr="00C13054" w:rsidRDefault="007D79F7" w:rsidP="00CE34CF">
      <w:pPr>
        <w:autoSpaceDE w:val="0"/>
        <w:autoSpaceDN w:val="0"/>
        <w:adjustRightInd w:val="0"/>
        <w:spacing w:after="240" w:line="276" w:lineRule="auto"/>
        <w:jc w:val="both"/>
        <w:rPr>
          <w:rFonts w:ascii="Arial" w:hAnsi="Arial" w:cs="Arial"/>
          <w:sz w:val="22"/>
          <w:szCs w:val="22"/>
          <w:lang w:eastAsia="en-GB"/>
        </w:rPr>
      </w:pPr>
      <w:r>
        <w:rPr>
          <w:rFonts w:ascii="Arial" w:hAnsi="Arial" w:cs="Arial"/>
          <w:sz w:val="22"/>
          <w:szCs w:val="22"/>
          <w:lang w:eastAsia="en-GB"/>
        </w:rPr>
        <w:t>The scheme was</w:t>
      </w:r>
      <w:r w:rsidR="00645C8E" w:rsidRPr="00C13054">
        <w:rPr>
          <w:rFonts w:ascii="Arial" w:hAnsi="Arial" w:cs="Arial"/>
          <w:sz w:val="22"/>
          <w:szCs w:val="22"/>
          <w:lang w:eastAsia="en-GB"/>
        </w:rPr>
        <w:t xml:space="preserve"> monitored by the</w:t>
      </w:r>
      <w:r w:rsidR="00E93FBA">
        <w:rPr>
          <w:rFonts w:ascii="Arial" w:hAnsi="Arial" w:cs="Arial"/>
          <w:sz w:val="22"/>
          <w:szCs w:val="22"/>
          <w:lang w:eastAsia="en-GB"/>
        </w:rPr>
        <w:t xml:space="preserve"> Clwyd-Powys Archaeological Trust (CPAT) Development Control Officer Mark Walters</w:t>
      </w:r>
      <w:r w:rsidR="00D35CAC">
        <w:rPr>
          <w:rFonts w:ascii="Arial" w:hAnsi="Arial" w:cs="Arial"/>
          <w:sz w:val="22"/>
          <w:szCs w:val="22"/>
          <w:lang w:eastAsia="en-GB"/>
        </w:rPr>
        <w:t>.</w:t>
      </w:r>
      <w:r w:rsidR="00645C8E" w:rsidRPr="00C13054">
        <w:rPr>
          <w:rFonts w:ascii="Arial" w:hAnsi="Arial" w:cs="Arial"/>
          <w:sz w:val="22"/>
          <w:szCs w:val="22"/>
          <w:lang w:eastAsia="en-GB"/>
        </w:rPr>
        <w:t xml:space="preserve"> </w:t>
      </w:r>
    </w:p>
    <w:p w:rsidR="007B69C5" w:rsidRDefault="001C7918" w:rsidP="00CE34CF">
      <w:pPr>
        <w:spacing w:after="240" w:line="276" w:lineRule="auto"/>
        <w:jc w:val="both"/>
        <w:rPr>
          <w:rFonts w:ascii="Arial" w:hAnsi="Arial" w:cs="Arial"/>
          <w:i/>
          <w:sz w:val="22"/>
          <w:szCs w:val="22"/>
        </w:rPr>
      </w:pPr>
      <w:r w:rsidRPr="00C13054">
        <w:rPr>
          <w:rFonts w:ascii="Arial" w:hAnsi="Arial" w:cs="Arial"/>
          <w:sz w:val="22"/>
          <w:szCs w:val="22"/>
        </w:rPr>
        <w:t>The works conformed</w:t>
      </w:r>
      <w:r w:rsidR="007B69C5" w:rsidRPr="00C13054">
        <w:rPr>
          <w:rFonts w:ascii="Arial" w:hAnsi="Arial" w:cs="Arial"/>
          <w:sz w:val="22"/>
          <w:szCs w:val="22"/>
        </w:rPr>
        <w:t xml:space="preserve"> to the guidelines specified in</w:t>
      </w:r>
      <w:r w:rsidR="007B69C5" w:rsidRPr="00C13054">
        <w:rPr>
          <w:rFonts w:ascii="Arial" w:hAnsi="Arial" w:cs="Arial"/>
          <w:i/>
          <w:sz w:val="22"/>
          <w:szCs w:val="22"/>
        </w:rPr>
        <w:t xml:space="preserve"> Standard and Guidance for Archaeological Watching Brief (</w:t>
      </w:r>
      <w:r w:rsidR="008F4BA2">
        <w:rPr>
          <w:rFonts w:ascii="Arial" w:hAnsi="Arial" w:cs="Arial"/>
          <w:i/>
          <w:sz w:val="22"/>
          <w:szCs w:val="22"/>
        </w:rPr>
        <w:t xml:space="preserve">Chartered </w:t>
      </w:r>
      <w:r w:rsidR="007B69C5" w:rsidRPr="00C13054">
        <w:rPr>
          <w:rFonts w:ascii="Arial" w:hAnsi="Arial" w:cs="Arial"/>
          <w:i/>
          <w:sz w:val="22"/>
          <w:szCs w:val="22"/>
        </w:rPr>
        <w:t>Institute for Arch</w:t>
      </w:r>
      <w:r w:rsidR="00645C8E" w:rsidRPr="00C13054">
        <w:rPr>
          <w:rFonts w:ascii="Arial" w:hAnsi="Arial" w:cs="Arial"/>
          <w:i/>
          <w:sz w:val="22"/>
          <w:szCs w:val="22"/>
        </w:rPr>
        <w:t xml:space="preserve">aeologists, 1994, rev. 2001, </w:t>
      </w:r>
      <w:r w:rsidR="007B69C5" w:rsidRPr="00C13054">
        <w:rPr>
          <w:rFonts w:ascii="Arial" w:hAnsi="Arial" w:cs="Arial"/>
          <w:i/>
          <w:sz w:val="22"/>
          <w:szCs w:val="22"/>
        </w:rPr>
        <w:t>2008</w:t>
      </w:r>
      <w:r w:rsidR="00645C8E" w:rsidRPr="00C13054">
        <w:rPr>
          <w:rFonts w:ascii="Arial" w:hAnsi="Arial" w:cs="Arial"/>
          <w:i/>
          <w:sz w:val="22"/>
          <w:szCs w:val="22"/>
        </w:rPr>
        <w:t xml:space="preserve"> and 2014</w:t>
      </w:r>
      <w:r w:rsidR="007B69C5" w:rsidRPr="00C13054">
        <w:rPr>
          <w:rFonts w:ascii="Arial" w:hAnsi="Arial" w:cs="Arial"/>
          <w:i/>
          <w:sz w:val="22"/>
          <w:szCs w:val="22"/>
        </w:rPr>
        <w:t>)</w:t>
      </w:r>
      <w:r w:rsidR="00E93FBA">
        <w:rPr>
          <w:rFonts w:ascii="Arial" w:hAnsi="Arial" w:cs="Arial"/>
          <w:i/>
          <w:sz w:val="22"/>
          <w:szCs w:val="22"/>
        </w:rPr>
        <w:t xml:space="preserve">. </w:t>
      </w:r>
    </w:p>
    <w:p w:rsidR="0024538B" w:rsidRPr="00AC030C" w:rsidRDefault="00B57953" w:rsidP="004F744F">
      <w:pPr>
        <w:pStyle w:val="Heading1"/>
      </w:pPr>
      <w:r w:rsidRPr="00C13054">
        <w:br w:type="page"/>
      </w:r>
      <w:bookmarkStart w:id="8" w:name="_Toc432067337"/>
      <w:r w:rsidR="00043295" w:rsidRPr="00AC030C">
        <w:lastRenderedPageBreak/>
        <w:t>2.</w:t>
      </w:r>
      <w:r w:rsidR="001C7918" w:rsidRPr="00AC030C">
        <w:t xml:space="preserve"> </w:t>
      </w:r>
      <w:r w:rsidR="00A40B0E" w:rsidRPr="00AC030C">
        <w:t>ARCHAEOLOGICAL BACKGROUND</w:t>
      </w:r>
      <w:bookmarkEnd w:id="8"/>
    </w:p>
    <w:p w:rsidR="00702124" w:rsidRPr="00A153F5" w:rsidRDefault="00702124" w:rsidP="00322165">
      <w:pPr>
        <w:spacing w:before="240" w:line="276" w:lineRule="auto"/>
        <w:jc w:val="both"/>
        <w:rPr>
          <w:rFonts w:ascii="Arial" w:hAnsi="Arial" w:cs="Arial"/>
          <w:sz w:val="22"/>
          <w:szCs w:val="22"/>
          <w:lang w:eastAsia="en-GB"/>
        </w:rPr>
      </w:pPr>
      <w:r w:rsidRPr="00696C5F">
        <w:rPr>
          <w:rFonts w:ascii="Arial" w:hAnsi="Arial" w:cs="Arial"/>
          <w:sz w:val="22"/>
          <w:szCs w:val="22"/>
          <w:lang w:eastAsia="en-GB"/>
        </w:rPr>
        <w:t>A brief examination of the regional Historic Environment Record (held jointly by the</w:t>
      </w:r>
      <w:r w:rsidR="00322165">
        <w:rPr>
          <w:rFonts w:ascii="Arial" w:hAnsi="Arial" w:cs="Arial"/>
          <w:sz w:val="22"/>
          <w:szCs w:val="22"/>
          <w:lang w:eastAsia="en-GB"/>
        </w:rPr>
        <w:t xml:space="preserve"> </w:t>
      </w:r>
      <w:r w:rsidRPr="00696C5F">
        <w:rPr>
          <w:rFonts w:ascii="Arial" w:hAnsi="Arial" w:cs="Arial"/>
          <w:sz w:val="22"/>
          <w:szCs w:val="22"/>
          <w:lang w:eastAsia="en-GB"/>
        </w:rPr>
        <w:t xml:space="preserve">Denbighshire Archaeology Service and the Clwyd-Powys Archaeological Trust) </w:t>
      </w:r>
      <w:r w:rsidRPr="005546D1">
        <w:rPr>
          <w:rFonts w:ascii="Arial" w:hAnsi="Arial" w:cs="Arial"/>
          <w:sz w:val="22"/>
          <w:szCs w:val="22"/>
          <w:lang w:eastAsia="en-GB"/>
        </w:rPr>
        <w:t>and</w:t>
      </w:r>
      <w:r w:rsidRPr="00696C5F">
        <w:rPr>
          <w:rFonts w:ascii="Arial" w:hAnsi="Arial" w:cs="Arial"/>
          <w:i/>
          <w:sz w:val="22"/>
          <w:szCs w:val="22"/>
          <w:lang w:eastAsia="en-GB"/>
        </w:rPr>
        <w:t xml:space="preserve"> </w:t>
      </w:r>
      <w:r w:rsidRPr="00696C5F">
        <w:rPr>
          <w:rFonts w:ascii="Arial" w:hAnsi="Arial" w:cs="Arial"/>
          <w:sz w:val="22"/>
          <w:szCs w:val="22"/>
          <w:lang w:eastAsia="en-GB"/>
        </w:rPr>
        <w:t>Coflein</w:t>
      </w:r>
      <w:r w:rsidRPr="00696C5F">
        <w:rPr>
          <w:rFonts w:ascii="Arial" w:hAnsi="Arial" w:cs="Arial"/>
          <w:i/>
          <w:sz w:val="22"/>
          <w:szCs w:val="22"/>
          <w:lang w:eastAsia="en-GB"/>
        </w:rPr>
        <w:t xml:space="preserve"> </w:t>
      </w:r>
      <w:r w:rsidRPr="005546D1">
        <w:rPr>
          <w:rFonts w:ascii="Arial" w:hAnsi="Arial" w:cs="Arial"/>
          <w:sz w:val="22"/>
          <w:szCs w:val="22"/>
          <w:lang w:eastAsia="en-GB"/>
        </w:rPr>
        <w:t xml:space="preserve">revealed that the proposed tennis court is situated within the </w:t>
      </w:r>
      <w:r w:rsidRPr="005546D1">
        <w:rPr>
          <w:rFonts w:ascii="Arial" w:hAnsi="Arial" w:cs="Arial"/>
          <w:sz w:val="22"/>
          <w:szCs w:val="22"/>
        </w:rPr>
        <w:t>western half of the former walled garden at Rhug (PRN 80574) which was attached to Grade II* listed Rhug Park House (PRN 25660</w:t>
      </w:r>
      <w:r>
        <w:rPr>
          <w:rFonts w:ascii="Arial" w:hAnsi="Arial" w:cs="Arial"/>
          <w:sz w:val="22"/>
          <w:szCs w:val="22"/>
        </w:rPr>
        <w:t>; Figure 02)</w:t>
      </w:r>
      <w:r w:rsidR="00E149E1">
        <w:rPr>
          <w:rFonts w:ascii="Arial" w:hAnsi="Arial" w:cs="Arial"/>
          <w:sz w:val="22"/>
          <w:szCs w:val="22"/>
        </w:rPr>
        <w:t>, in the parish of Corwen</w:t>
      </w:r>
      <w:r>
        <w:rPr>
          <w:rFonts w:ascii="Arial" w:hAnsi="Arial" w:cs="Arial"/>
          <w:sz w:val="22"/>
          <w:szCs w:val="22"/>
        </w:rPr>
        <w:t xml:space="preserve">. </w:t>
      </w:r>
    </w:p>
    <w:p w:rsidR="00702124" w:rsidRDefault="00702124" w:rsidP="00322165">
      <w:pPr>
        <w:spacing w:before="240" w:line="276" w:lineRule="auto"/>
        <w:jc w:val="both"/>
        <w:rPr>
          <w:rFonts w:ascii="Arial" w:hAnsi="Arial" w:cs="Arial"/>
          <w:sz w:val="22"/>
          <w:szCs w:val="22"/>
        </w:rPr>
      </w:pPr>
      <w:r>
        <w:rPr>
          <w:rFonts w:ascii="Arial" w:hAnsi="Arial" w:cs="Arial"/>
          <w:sz w:val="22"/>
          <w:szCs w:val="22"/>
        </w:rPr>
        <w:t>The present house (PRN 25660) is late 18</w:t>
      </w:r>
      <w:r w:rsidRPr="004D6099">
        <w:rPr>
          <w:rFonts w:ascii="Arial" w:hAnsi="Arial" w:cs="Arial"/>
          <w:sz w:val="22"/>
          <w:szCs w:val="22"/>
          <w:vertAlign w:val="superscript"/>
        </w:rPr>
        <w:t>th</w:t>
      </w:r>
      <w:r>
        <w:rPr>
          <w:rFonts w:ascii="Arial" w:hAnsi="Arial" w:cs="Arial"/>
          <w:sz w:val="22"/>
          <w:szCs w:val="22"/>
        </w:rPr>
        <w:t xml:space="preserve"> century in date, possibly being constructed in 1798. It replaced an earlier house of medieval date (possibly 16</w:t>
      </w:r>
      <w:r w:rsidRPr="004D6099">
        <w:rPr>
          <w:rFonts w:ascii="Arial" w:hAnsi="Arial" w:cs="Arial"/>
          <w:sz w:val="22"/>
          <w:szCs w:val="22"/>
          <w:vertAlign w:val="superscript"/>
        </w:rPr>
        <w:t>th</w:t>
      </w:r>
      <w:r>
        <w:rPr>
          <w:rFonts w:ascii="Arial" w:hAnsi="Arial" w:cs="Arial"/>
          <w:sz w:val="22"/>
          <w:szCs w:val="22"/>
        </w:rPr>
        <w:t xml:space="preserve"> century) which may have been located on the north side of the castle mount (MPRN 306598). </w:t>
      </w:r>
      <w:r w:rsidRPr="0007234E">
        <w:rPr>
          <w:rFonts w:ascii="Arial" w:hAnsi="Arial" w:cs="Arial"/>
          <w:sz w:val="22"/>
          <w:szCs w:val="22"/>
        </w:rPr>
        <w:t>The</w:t>
      </w:r>
      <w:r w:rsidR="00535587">
        <w:rPr>
          <w:rFonts w:ascii="Arial" w:hAnsi="Arial" w:cs="Arial"/>
          <w:sz w:val="22"/>
          <w:szCs w:val="22"/>
        </w:rPr>
        <w:t xml:space="preserve"> Coflein entry for Rhug references a map which</w:t>
      </w:r>
      <w:r w:rsidRPr="0007234E">
        <w:rPr>
          <w:rFonts w:ascii="Arial" w:hAnsi="Arial" w:cs="Arial"/>
          <w:sz w:val="22"/>
          <w:szCs w:val="22"/>
        </w:rPr>
        <w:t xml:space="preserve"> suggest</w:t>
      </w:r>
      <w:r w:rsidR="00535587">
        <w:rPr>
          <w:rFonts w:ascii="Arial" w:hAnsi="Arial" w:cs="Arial"/>
          <w:sz w:val="22"/>
          <w:szCs w:val="22"/>
        </w:rPr>
        <w:t>s</w:t>
      </w:r>
      <w:r w:rsidRPr="0007234E">
        <w:rPr>
          <w:rFonts w:ascii="Arial" w:hAnsi="Arial" w:cs="Arial"/>
          <w:sz w:val="22"/>
          <w:szCs w:val="22"/>
        </w:rPr>
        <w:t xml:space="preserve"> a pair of buildings to the west of the walled garden with a possible access drive passing through, or near to, the later walled garden. These buildings may represent the remains of the earlier hall and the former access drive may be encountered during ground disturbance in the tennis court area.</w:t>
      </w:r>
      <w:r>
        <w:rPr>
          <w:rFonts w:ascii="Arial" w:hAnsi="Arial" w:cs="Arial"/>
          <w:sz w:val="22"/>
          <w:szCs w:val="22"/>
        </w:rPr>
        <w:t xml:space="preserve"> </w:t>
      </w:r>
    </w:p>
    <w:p w:rsidR="00702124" w:rsidRDefault="00702124" w:rsidP="00322165">
      <w:pPr>
        <w:spacing w:before="240" w:line="276" w:lineRule="auto"/>
        <w:jc w:val="both"/>
        <w:rPr>
          <w:rFonts w:ascii="Arial" w:hAnsi="Arial" w:cs="Arial"/>
          <w:sz w:val="22"/>
          <w:szCs w:val="22"/>
        </w:rPr>
      </w:pPr>
      <w:r w:rsidRPr="0007234E">
        <w:rPr>
          <w:rFonts w:ascii="Arial" w:hAnsi="Arial" w:cs="Arial"/>
          <w:sz w:val="22"/>
          <w:szCs w:val="22"/>
        </w:rPr>
        <w:t>The origin of the walled garden is poorly documented</w:t>
      </w:r>
      <w:r>
        <w:rPr>
          <w:rFonts w:ascii="Arial" w:hAnsi="Arial" w:cs="Arial"/>
          <w:sz w:val="22"/>
          <w:szCs w:val="22"/>
        </w:rPr>
        <w:t xml:space="preserve">. It is first clearly depicted on the 1840 tithe map and again on the </w:t>
      </w:r>
      <w:r w:rsidRPr="00D31A6B">
        <w:rPr>
          <w:rFonts w:ascii="Arial" w:hAnsi="Arial" w:cs="Arial"/>
          <w:sz w:val="22"/>
          <w:szCs w:val="22"/>
        </w:rPr>
        <w:t xml:space="preserve">First Edition Ordnance Survey </w:t>
      </w:r>
      <w:r w:rsidR="009A132D">
        <w:rPr>
          <w:rFonts w:ascii="Arial" w:hAnsi="Arial" w:cs="Arial"/>
          <w:sz w:val="22"/>
          <w:szCs w:val="22"/>
        </w:rPr>
        <w:t xml:space="preserve">25” </w:t>
      </w:r>
      <w:r w:rsidRPr="00D31A6B">
        <w:rPr>
          <w:rFonts w:ascii="Arial" w:hAnsi="Arial" w:cs="Arial"/>
          <w:sz w:val="22"/>
          <w:szCs w:val="22"/>
        </w:rPr>
        <w:t xml:space="preserve">County </w:t>
      </w:r>
      <w:r>
        <w:rPr>
          <w:rFonts w:ascii="Arial" w:hAnsi="Arial" w:cs="Arial"/>
          <w:sz w:val="22"/>
          <w:szCs w:val="22"/>
        </w:rPr>
        <w:t>series (Merioneth. VII.16 1875) map. As such, it is possible that the walled garden dates from the early 19</w:t>
      </w:r>
      <w:r w:rsidRPr="00D31A6B">
        <w:rPr>
          <w:rFonts w:ascii="Arial" w:hAnsi="Arial" w:cs="Arial"/>
          <w:sz w:val="22"/>
          <w:szCs w:val="22"/>
          <w:vertAlign w:val="superscript"/>
        </w:rPr>
        <w:t>th</w:t>
      </w:r>
      <w:r>
        <w:rPr>
          <w:rFonts w:ascii="Arial" w:hAnsi="Arial" w:cs="Arial"/>
          <w:sz w:val="22"/>
          <w:szCs w:val="22"/>
        </w:rPr>
        <w:t xml:space="preserve"> century. </w:t>
      </w:r>
    </w:p>
    <w:p w:rsidR="00702124" w:rsidRDefault="00702124" w:rsidP="00322165">
      <w:pPr>
        <w:spacing w:before="240" w:line="276" w:lineRule="auto"/>
        <w:jc w:val="both"/>
        <w:rPr>
          <w:rFonts w:ascii="Arial" w:hAnsi="Arial" w:cs="Arial"/>
          <w:sz w:val="22"/>
          <w:szCs w:val="22"/>
        </w:rPr>
      </w:pPr>
      <w:r>
        <w:rPr>
          <w:rFonts w:ascii="Arial" w:hAnsi="Arial" w:cs="Arial"/>
          <w:sz w:val="22"/>
          <w:szCs w:val="22"/>
        </w:rPr>
        <w:t xml:space="preserve">To the immediate south of the walled garden and proposed development, situated along the western edge of the fish pond, there is the castle mount (MPRN 306598). </w:t>
      </w:r>
      <w:r w:rsidRPr="009E0FA6">
        <w:rPr>
          <w:rFonts w:ascii="Arial" w:hAnsi="Arial" w:cs="Arial"/>
          <w:color w:val="000000"/>
          <w:sz w:val="22"/>
          <w:szCs w:val="22"/>
          <w:lang w:eastAsia="en-GB"/>
        </w:rPr>
        <w:t>The mound originated as a Bronze Age burial cairn which was enlar</w:t>
      </w:r>
      <w:r>
        <w:rPr>
          <w:rFonts w:ascii="Arial" w:hAnsi="Arial" w:cs="Arial"/>
          <w:color w:val="000000"/>
          <w:sz w:val="22"/>
          <w:szCs w:val="22"/>
          <w:lang w:eastAsia="en-GB"/>
        </w:rPr>
        <w:t>ged as a castle motte in the 11</w:t>
      </w:r>
      <w:r w:rsidRPr="00696C5F">
        <w:rPr>
          <w:rFonts w:ascii="Arial" w:hAnsi="Arial" w:cs="Arial"/>
          <w:color w:val="000000"/>
          <w:sz w:val="22"/>
          <w:szCs w:val="22"/>
          <w:vertAlign w:val="superscript"/>
          <w:lang w:eastAsia="en-GB"/>
        </w:rPr>
        <w:t>th</w:t>
      </w:r>
      <w:r>
        <w:rPr>
          <w:rFonts w:ascii="Arial" w:hAnsi="Arial" w:cs="Arial"/>
          <w:color w:val="000000"/>
          <w:sz w:val="22"/>
          <w:szCs w:val="22"/>
          <w:lang w:eastAsia="en-GB"/>
        </w:rPr>
        <w:t xml:space="preserve"> century</w:t>
      </w:r>
      <w:r w:rsidRPr="009E0FA6">
        <w:rPr>
          <w:rFonts w:ascii="Arial" w:hAnsi="Arial" w:cs="Arial"/>
          <w:color w:val="000000"/>
          <w:sz w:val="22"/>
          <w:szCs w:val="22"/>
          <w:lang w:eastAsia="en-GB"/>
        </w:rPr>
        <w:t>. It formed the nucleus of the original estate of R</w:t>
      </w:r>
      <w:r>
        <w:rPr>
          <w:rFonts w:ascii="Arial" w:hAnsi="Arial" w:cs="Arial"/>
          <w:color w:val="000000"/>
          <w:sz w:val="22"/>
          <w:szCs w:val="22"/>
          <w:lang w:eastAsia="en-GB"/>
        </w:rPr>
        <w:t>h</w:t>
      </w:r>
      <w:r w:rsidRPr="009E0FA6">
        <w:rPr>
          <w:rFonts w:ascii="Arial" w:hAnsi="Arial" w:cs="Arial"/>
          <w:color w:val="000000"/>
          <w:sz w:val="22"/>
          <w:szCs w:val="22"/>
          <w:lang w:eastAsia="en-GB"/>
        </w:rPr>
        <w:t>ug</w:t>
      </w:r>
      <w:r>
        <w:rPr>
          <w:rFonts w:ascii="Arial" w:hAnsi="Arial" w:cs="Arial"/>
          <w:color w:val="000000"/>
          <w:sz w:val="22"/>
          <w:szCs w:val="22"/>
          <w:lang w:eastAsia="en-GB"/>
        </w:rPr>
        <w:t>. An</w:t>
      </w:r>
      <w:r w:rsidRPr="009E0FA6">
        <w:rPr>
          <w:rFonts w:ascii="Arial" w:hAnsi="Arial" w:cs="Arial"/>
          <w:color w:val="000000"/>
          <w:sz w:val="22"/>
          <w:szCs w:val="22"/>
          <w:lang w:eastAsia="en-GB"/>
        </w:rPr>
        <w:t xml:space="preserve"> ice house was constructed in 1878, and it was during the associated excavation work that the Bronze Age origins of the mound were discovered.</w:t>
      </w:r>
      <w:r>
        <w:rPr>
          <w:rFonts w:ascii="Arial" w:hAnsi="Arial" w:cs="Arial"/>
          <w:color w:val="000000"/>
          <w:sz w:val="22"/>
          <w:szCs w:val="22"/>
          <w:lang w:eastAsia="en-GB"/>
        </w:rPr>
        <w:t xml:space="preserve"> The mound is a scheduled ancient monument (ME 019). </w:t>
      </w:r>
      <w:r w:rsidRPr="00696C5F">
        <w:rPr>
          <w:rFonts w:ascii="Arial" w:hAnsi="Arial" w:cs="Arial"/>
          <w:sz w:val="22"/>
          <w:szCs w:val="22"/>
        </w:rPr>
        <w:t>A standing stone near the mound (NPRN 306599) is probably a relatively recent garden feature.</w:t>
      </w:r>
      <w:r>
        <w:rPr>
          <w:rFonts w:ascii="Arial" w:hAnsi="Arial" w:cs="Arial"/>
          <w:sz w:val="22"/>
          <w:szCs w:val="22"/>
        </w:rPr>
        <w:t xml:space="preserve"> </w:t>
      </w:r>
    </w:p>
    <w:p w:rsidR="00702124" w:rsidRDefault="00702124" w:rsidP="00322165">
      <w:pPr>
        <w:spacing w:before="240" w:line="276" w:lineRule="auto"/>
        <w:jc w:val="both"/>
        <w:rPr>
          <w:rFonts w:ascii="Arial" w:hAnsi="Arial" w:cs="Arial"/>
          <w:sz w:val="22"/>
          <w:szCs w:val="22"/>
        </w:rPr>
      </w:pPr>
      <w:r>
        <w:rPr>
          <w:rFonts w:ascii="Arial" w:hAnsi="Arial" w:cs="Arial"/>
          <w:sz w:val="22"/>
          <w:szCs w:val="22"/>
        </w:rPr>
        <w:t>At the southern entrance to Rhug Hall, there is a gate lodge (NPRN 265144), depicted on the First E</w:t>
      </w:r>
      <w:r w:rsidRPr="00D5344D">
        <w:rPr>
          <w:rFonts w:ascii="Arial" w:hAnsi="Arial" w:cs="Arial"/>
          <w:sz w:val="22"/>
          <w:szCs w:val="22"/>
        </w:rPr>
        <w:t>dition O</w:t>
      </w:r>
      <w:r>
        <w:rPr>
          <w:rFonts w:ascii="Arial" w:hAnsi="Arial" w:cs="Arial"/>
          <w:sz w:val="22"/>
          <w:szCs w:val="22"/>
        </w:rPr>
        <w:t xml:space="preserve">rdnance </w:t>
      </w:r>
      <w:r w:rsidRPr="00D5344D">
        <w:rPr>
          <w:rFonts w:ascii="Arial" w:hAnsi="Arial" w:cs="Arial"/>
          <w:sz w:val="22"/>
          <w:szCs w:val="22"/>
        </w:rPr>
        <w:t>S</w:t>
      </w:r>
      <w:r>
        <w:rPr>
          <w:rFonts w:ascii="Arial" w:hAnsi="Arial" w:cs="Arial"/>
          <w:sz w:val="22"/>
          <w:szCs w:val="22"/>
        </w:rPr>
        <w:t>urvey</w:t>
      </w:r>
      <w:r w:rsidRPr="00D5344D">
        <w:rPr>
          <w:rFonts w:ascii="Arial" w:hAnsi="Arial" w:cs="Arial"/>
          <w:sz w:val="22"/>
          <w:szCs w:val="22"/>
        </w:rPr>
        <w:t xml:space="preserve"> County series (Merioneth. VII.16 1875).</w:t>
      </w:r>
      <w:r>
        <w:rPr>
          <w:rFonts w:ascii="Arial" w:hAnsi="Arial" w:cs="Arial"/>
          <w:sz w:val="22"/>
          <w:szCs w:val="22"/>
        </w:rPr>
        <w:t xml:space="preserve"> </w:t>
      </w:r>
      <w:r w:rsidRPr="00D5344D">
        <w:rPr>
          <w:rFonts w:ascii="Arial" w:hAnsi="Arial" w:cs="Arial"/>
          <w:sz w:val="22"/>
          <w:szCs w:val="22"/>
        </w:rPr>
        <w:t>A single storey building of two ranges set at right angles. The main north-south range has an attic. Both ranges have north-facing porches. The walls are of roughly coursed stone blocks under slate gabled roofs.</w:t>
      </w:r>
    </w:p>
    <w:p w:rsidR="00702124" w:rsidRPr="00D5344D" w:rsidRDefault="00702124" w:rsidP="00322165">
      <w:pPr>
        <w:spacing w:before="240" w:line="276" w:lineRule="auto"/>
        <w:jc w:val="both"/>
        <w:rPr>
          <w:rFonts w:ascii="Arial" w:hAnsi="Arial" w:cs="Arial"/>
          <w:sz w:val="22"/>
          <w:szCs w:val="22"/>
        </w:rPr>
      </w:pPr>
      <w:r w:rsidRPr="00D5344D">
        <w:rPr>
          <w:rFonts w:ascii="Arial" w:hAnsi="Arial" w:cs="Arial"/>
          <w:sz w:val="22"/>
          <w:szCs w:val="22"/>
        </w:rPr>
        <w:t>The lodge stands beside the wrought iron gates brought to R</w:t>
      </w:r>
      <w:r>
        <w:rPr>
          <w:rFonts w:ascii="Arial" w:hAnsi="Arial" w:cs="Arial"/>
          <w:sz w:val="22"/>
          <w:szCs w:val="22"/>
        </w:rPr>
        <w:t>h</w:t>
      </w:r>
      <w:r w:rsidRPr="00D5344D">
        <w:rPr>
          <w:rFonts w:ascii="Arial" w:hAnsi="Arial" w:cs="Arial"/>
          <w:sz w:val="22"/>
          <w:szCs w:val="22"/>
        </w:rPr>
        <w:t>ug in about 1740 (NPRN 28724).</w:t>
      </w:r>
      <w:r>
        <w:rPr>
          <w:rFonts w:ascii="Arial" w:hAnsi="Arial" w:cs="Arial"/>
          <w:sz w:val="22"/>
          <w:szCs w:val="22"/>
        </w:rPr>
        <w:t xml:space="preserve"> </w:t>
      </w:r>
      <w:r w:rsidRPr="00B67487">
        <w:rPr>
          <w:rFonts w:ascii="Arial" w:hAnsi="Arial" w:cs="Arial"/>
          <w:color w:val="000000"/>
          <w:sz w:val="22"/>
          <w:szCs w:val="22"/>
          <w:lang w:eastAsia="en-GB"/>
        </w:rPr>
        <w:t>They have been attributed to the Davies brothers of Croes Foel, although their style is rather more reminiscent of the work of Robert Bakewell of Derby.</w:t>
      </w:r>
      <w:r>
        <w:rPr>
          <w:rFonts w:ascii="Arial" w:hAnsi="Arial" w:cs="Arial"/>
          <w:sz w:val="22"/>
          <w:szCs w:val="22"/>
        </w:rPr>
        <w:t xml:space="preserve"> The gates consist of </w:t>
      </w:r>
      <w:r>
        <w:rPr>
          <w:rFonts w:ascii="Arial" w:hAnsi="Arial" w:cs="Arial"/>
          <w:color w:val="000000"/>
          <w:sz w:val="22"/>
          <w:szCs w:val="22"/>
          <w:lang w:eastAsia="en-GB"/>
        </w:rPr>
        <w:t>s</w:t>
      </w:r>
      <w:r w:rsidRPr="00B67487">
        <w:rPr>
          <w:rFonts w:ascii="Arial" w:hAnsi="Arial" w:cs="Arial"/>
          <w:color w:val="000000"/>
          <w:sz w:val="22"/>
          <w:szCs w:val="22"/>
          <w:lang w:eastAsia="en-GB"/>
        </w:rPr>
        <w:t>quare-section piers with shallow pyramidal copings flank the entrance gates, and terminate the low quadrant walls to either side. Railings with scrolled arrow heads raised on quadrant plinth walls. Gates have enriched overthrow and side panels, with wave-bar pattern to overthrow support and lock bar, and arrow head dog rails.</w:t>
      </w:r>
    </w:p>
    <w:p w:rsidR="00702124" w:rsidRPr="00D5344D" w:rsidRDefault="00702124" w:rsidP="00702124">
      <w:pPr>
        <w:spacing w:line="276" w:lineRule="auto"/>
        <w:jc w:val="both"/>
        <w:rPr>
          <w:rFonts w:ascii="Arial" w:hAnsi="Arial" w:cs="Arial"/>
          <w:sz w:val="22"/>
          <w:szCs w:val="22"/>
        </w:rPr>
      </w:pPr>
    </w:p>
    <w:p w:rsidR="00043295" w:rsidRPr="001A1E2C" w:rsidRDefault="00B57953" w:rsidP="004F744F">
      <w:pPr>
        <w:pStyle w:val="Heading1"/>
        <w:rPr>
          <w:rFonts w:eastAsia="Calibri"/>
        </w:rPr>
      </w:pPr>
      <w:r w:rsidRPr="00C13054">
        <w:br w:type="page"/>
      </w:r>
      <w:bookmarkStart w:id="9" w:name="_Toc432067338"/>
      <w:r w:rsidR="00A40B0E" w:rsidRPr="001A1E2C">
        <w:lastRenderedPageBreak/>
        <w:t>3. METHODOLOGY</w:t>
      </w:r>
      <w:bookmarkEnd w:id="9"/>
    </w:p>
    <w:p w:rsidR="001C7918" w:rsidRPr="00C13054" w:rsidRDefault="000D6772" w:rsidP="001A1E2C">
      <w:pPr>
        <w:pStyle w:val="Heading2"/>
        <w:spacing w:line="360" w:lineRule="auto"/>
        <w:jc w:val="both"/>
        <w:rPr>
          <w:i w:val="0"/>
          <w:sz w:val="22"/>
          <w:szCs w:val="22"/>
        </w:rPr>
      </w:pPr>
      <w:bookmarkStart w:id="10" w:name="_Toc334021464"/>
      <w:bookmarkStart w:id="11" w:name="_Toc432067339"/>
      <w:r w:rsidRPr="00C13054">
        <w:rPr>
          <w:i w:val="0"/>
          <w:sz w:val="22"/>
          <w:szCs w:val="22"/>
        </w:rPr>
        <w:t>3</w:t>
      </w:r>
      <w:r w:rsidR="001C7918" w:rsidRPr="00C13054">
        <w:rPr>
          <w:i w:val="0"/>
          <w:sz w:val="22"/>
          <w:szCs w:val="22"/>
        </w:rPr>
        <w:t xml:space="preserve">.1 </w:t>
      </w:r>
      <w:bookmarkEnd w:id="10"/>
      <w:r w:rsidR="00B50B02">
        <w:rPr>
          <w:i w:val="0"/>
          <w:sz w:val="22"/>
          <w:szCs w:val="22"/>
        </w:rPr>
        <w:t xml:space="preserve">Archaeological </w:t>
      </w:r>
      <w:r w:rsidR="00847B3F">
        <w:rPr>
          <w:i w:val="0"/>
          <w:sz w:val="22"/>
          <w:szCs w:val="22"/>
        </w:rPr>
        <w:t>Watching Brief</w:t>
      </w:r>
      <w:bookmarkEnd w:id="11"/>
      <w:r w:rsidR="001C7918" w:rsidRPr="00C13054">
        <w:rPr>
          <w:i w:val="0"/>
          <w:sz w:val="22"/>
          <w:szCs w:val="22"/>
        </w:rPr>
        <w:t xml:space="preserve"> </w:t>
      </w:r>
    </w:p>
    <w:p w:rsidR="00A67516" w:rsidRPr="001A1E2C" w:rsidRDefault="00A67516" w:rsidP="00C145F7">
      <w:pPr>
        <w:autoSpaceDE w:val="0"/>
        <w:autoSpaceDN w:val="0"/>
        <w:adjustRightInd w:val="0"/>
        <w:spacing w:before="240" w:line="276" w:lineRule="auto"/>
        <w:jc w:val="both"/>
        <w:rPr>
          <w:rFonts w:ascii="Arial" w:hAnsi="Arial" w:cs="Arial"/>
          <w:sz w:val="22"/>
          <w:szCs w:val="22"/>
        </w:rPr>
      </w:pPr>
      <w:r w:rsidRPr="001A1E2C">
        <w:rPr>
          <w:rFonts w:ascii="Arial" w:hAnsi="Arial" w:cs="Arial"/>
          <w:sz w:val="22"/>
          <w:szCs w:val="22"/>
        </w:rPr>
        <w:t>Based on the GAT project desig</w:t>
      </w:r>
      <w:r w:rsidR="00847B3F">
        <w:rPr>
          <w:rFonts w:ascii="Arial" w:hAnsi="Arial" w:cs="Arial"/>
          <w:sz w:val="22"/>
          <w:szCs w:val="22"/>
        </w:rPr>
        <w:t>n</w:t>
      </w:r>
      <w:r w:rsidR="00B50B02">
        <w:rPr>
          <w:rFonts w:ascii="Arial" w:hAnsi="Arial" w:cs="Arial"/>
          <w:sz w:val="22"/>
          <w:szCs w:val="22"/>
        </w:rPr>
        <w:t xml:space="preserve"> (Appendix I)</w:t>
      </w:r>
      <w:r w:rsidR="00847B3F">
        <w:rPr>
          <w:rFonts w:ascii="Arial" w:hAnsi="Arial" w:cs="Arial"/>
          <w:sz w:val="22"/>
          <w:szCs w:val="22"/>
        </w:rPr>
        <w:t>, the following actions were</w:t>
      </w:r>
      <w:r w:rsidRPr="001A1E2C">
        <w:rPr>
          <w:rFonts w:ascii="Arial" w:hAnsi="Arial" w:cs="Arial"/>
          <w:sz w:val="22"/>
          <w:szCs w:val="22"/>
        </w:rPr>
        <w:t xml:space="preserve"> undertaken as pa</w:t>
      </w:r>
      <w:r w:rsidR="00847B3F">
        <w:rPr>
          <w:rFonts w:ascii="Arial" w:hAnsi="Arial" w:cs="Arial"/>
          <w:sz w:val="22"/>
          <w:szCs w:val="22"/>
        </w:rPr>
        <w:t>rt of the archaeological watching brief</w:t>
      </w:r>
      <w:r w:rsidRPr="001A1E2C">
        <w:rPr>
          <w:rFonts w:ascii="Arial" w:hAnsi="Arial" w:cs="Arial"/>
          <w:sz w:val="22"/>
          <w:szCs w:val="22"/>
        </w:rPr>
        <w:t>:-</w:t>
      </w:r>
    </w:p>
    <w:p w:rsidR="0050599B" w:rsidRPr="0050599B" w:rsidRDefault="0050599B" w:rsidP="00C145F7">
      <w:pPr>
        <w:pStyle w:val="ListParagraph"/>
        <w:numPr>
          <w:ilvl w:val="0"/>
          <w:numId w:val="34"/>
        </w:numPr>
        <w:spacing w:before="240" w:line="276" w:lineRule="auto"/>
        <w:jc w:val="both"/>
        <w:rPr>
          <w:rFonts w:ascii="Arial" w:hAnsi="Arial" w:cs="Arial"/>
          <w:snapToGrid w:val="0"/>
        </w:rPr>
      </w:pPr>
      <w:r>
        <w:rPr>
          <w:rFonts w:ascii="Arial" w:hAnsi="Arial" w:cs="Arial"/>
          <w:snapToGrid w:val="0"/>
        </w:rPr>
        <w:t>The gro</w:t>
      </w:r>
      <w:r w:rsidR="00B50B02">
        <w:rPr>
          <w:rFonts w:ascii="Arial" w:hAnsi="Arial" w:cs="Arial"/>
          <w:snapToGrid w:val="0"/>
        </w:rPr>
        <w:t>und level</w:t>
      </w:r>
      <w:r>
        <w:rPr>
          <w:rFonts w:ascii="Arial" w:hAnsi="Arial" w:cs="Arial"/>
          <w:snapToGrid w:val="0"/>
        </w:rPr>
        <w:t xml:space="preserve"> was reduced </w:t>
      </w:r>
      <w:r>
        <w:rPr>
          <w:rFonts w:ascii="Arial" w:hAnsi="Arial" w:cs="Arial"/>
        </w:rPr>
        <w:t>by a tracked 360˚ excavator, fitted with a toothless bucket under the supervision of a GAT project office</w:t>
      </w:r>
      <w:r w:rsidR="00B50B02">
        <w:rPr>
          <w:rFonts w:ascii="Arial" w:hAnsi="Arial" w:cs="Arial"/>
        </w:rPr>
        <w:t>r, to the formation level of the tennis court</w:t>
      </w:r>
      <w:r>
        <w:rPr>
          <w:rFonts w:ascii="Arial" w:hAnsi="Arial" w:cs="Arial"/>
        </w:rPr>
        <w:t>;</w:t>
      </w:r>
    </w:p>
    <w:p w:rsidR="0050599B" w:rsidRPr="0070283B" w:rsidRDefault="00B50B02" w:rsidP="00C145F7">
      <w:pPr>
        <w:pStyle w:val="ListParagraph"/>
        <w:numPr>
          <w:ilvl w:val="0"/>
          <w:numId w:val="34"/>
        </w:numPr>
        <w:spacing w:before="240" w:line="276" w:lineRule="auto"/>
        <w:jc w:val="both"/>
        <w:rPr>
          <w:rFonts w:ascii="Arial" w:hAnsi="Arial" w:cs="Arial"/>
          <w:snapToGrid w:val="0"/>
        </w:rPr>
      </w:pPr>
      <w:r>
        <w:rPr>
          <w:rFonts w:ascii="Arial" w:hAnsi="Arial" w:cs="Arial"/>
        </w:rPr>
        <w:t>A photographic record was maintained throughout the archaeological watching brief, using a digital SLR camera set to maximum resolution in RAW format</w:t>
      </w:r>
      <w:r w:rsidR="0070283B">
        <w:rPr>
          <w:rFonts w:ascii="Arial" w:hAnsi="Arial" w:cs="Arial"/>
        </w:rPr>
        <w:t>;</w:t>
      </w:r>
    </w:p>
    <w:p w:rsidR="0070283B" w:rsidRPr="00B50B02" w:rsidRDefault="0070283B" w:rsidP="00C145F7">
      <w:pPr>
        <w:pStyle w:val="ListParagraph"/>
        <w:numPr>
          <w:ilvl w:val="0"/>
          <w:numId w:val="34"/>
        </w:numPr>
        <w:spacing w:before="240" w:line="276" w:lineRule="auto"/>
        <w:jc w:val="both"/>
        <w:rPr>
          <w:rFonts w:ascii="Arial" w:hAnsi="Arial" w:cs="Arial"/>
          <w:snapToGrid w:val="0"/>
        </w:rPr>
      </w:pPr>
      <w:r>
        <w:rPr>
          <w:rFonts w:ascii="Arial" w:hAnsi="Arial" w:cs="Arial"/>
          <w:snapToGrid w:val="0"/>
        </w:rPr>
        <w:t xml:space="preserve">GAT </w:t>
      </w:r>
      <w:r>
        <w:rPr>
          <w:rFonts w:ascii="Arial" w:hAnsi="Arial" w:cs="Arial"/>
        </w:rPr>
        <w:t xml:space="preserve">pro-formas were completed during the archaeological </w:t>
      </w:r>
      <w:r w:rsidR="00B50B02">
        <w:rPr>
          <w:rFonts w:ascii="Arial" w:hAnsi="Arial" w:cs="Arial"/>
        </w:rPr>
        <w:t>watching brief;</w:t>
      </w:r>
    </w:p>
    <w:p w:rsidR="00B50B02" w:rsidRDefault="00B50B02" w:rsidP="00C145F7">
      <w:pPr>
        <w:pStyle w:val="ListParagraph"/>
        <w:numPr>
          <w:ilvl w:val="0"/>
          <w:numId w:val="34"/>
        </w:numPr>
        <w:spacing w:before="240" w:line="276" w:lineRule="auto"/>
        <w:jc w:val="both"/>
        <w:rPr>
          <w:rFonts w:ascii="Arial" w:hAnsi="Arial" w:cs="Arial"/>
          <w:snapToGrid w:val="0"/>
        </w:rPr>
      </w:pPr>
      <w:r>
        <w:rPr>
          <w:rFonts w:ascii="Arial" w:hAnsi="Arial" w:cs="Arial"/>
        </w:rPr>
        <w:t xml:space="preserve">Archaeological features were documented on GAT context record forms and recorded in scaled photographs using a digital SLR camera set to maximum resolution in RAW format. </w:t>
      </w:r>
    </w:p>
    <w:p w:rsidR="0056030C" w:rsidRPr="006B27D0" w:rsidRDefault="0070283B" w:rsidP="00C145F7">
      <w:pPr>
        <w:spacing w:before="240" w:line="276" w:lineRule="auto"/>
        <w:jc w:val="both"/>
        <w:rPr>
          <w:rFonts w:ascii="Arial" w:hAnsi="Arial" w:cs="Arial"/>
          <w:sz w:val="22"/>
          <w:szCs w:val="22"/>
          <w:u w:val="single"/>
        </w:rPr>
      </w:pPr>
      <w:r>
        <w:rPr>
          <w:rFonts w:ascii="Arial" w:hAnsi="Arial" w:cs="Arial"/>
          <w:sz w:val="22"/>
          <w:szCs w:val="22"/>
        </w:rPr>
        <w:t xml:space="preserve">The </w:t>
      </w:r>
      <w:r w:rsidR="00B50B02">
        <w:rPr>
          <w:rFonts w:ascii="Arial" w:hAnsi="Arial" w:cs="Arial"/>
          <w:sz w:val="22"/>
          <w:szCs w:val="22"/>
        </w:rPr>
        <w:t>archaeological watching brief was conducted on 10</w:t>
      </w:r>
      <w:r w:rsidR="00B50B02" w:rsidRPr="00B50B02">
        <w:rPr>
          <w:rFonts w:ascii="Arial" w:hAnsi="Arial" w:cs="Arial"/>
          <w:sz w:val="22"/>
          <w:szCs w:val="22"/>
          <w:vertAlign w:val="superscript"/>
        </w:rPr>
        <w:t>th</w:t>
      </w:r>
      <w:r w:rsidR="00B50B02">
        <w:rPr>
          <w:rFonts w:ascii="Arial" w:hAnsi="Arial" w:cs="Arial"/>
          <w:sz w:val="22"/>
          <w:szCs w:val="22"/>
        </w:rPr>
        <w:t xml:space="preserve"> and 11</w:t>
      </w:r>
      <w:r w:rsidR="00B50B02" w:rsidRPr="00B50B02">
        <w:rPr>
          <w:rFonts w:ascii="Arial" w:hAnsi="Arial" w:cs="Arial"/>
          <w:sz w:val="22"/>
          <w:szCs w:val="22"/>
          <w:vertAlign w:val="superscript"/>
        </w:rPr>
        <w:t>th</w:t>
      </w:r>
      <w:r w:rsidR="00B50B02">
        <w:rPr>
          <w:rFonts w:ascii="Arial" w:hAnsi="Arial" w:cs="Arial"/>
          <w:sz w:val="22"/>
          <w:szCs w:val="22"/>
        </w:rPr>
        <w:t xml:space="preserve"> September</w:t>
      </w:r>
      <w:r w:rsidR="0056030C">
        <w:rPr>
          <w:rFonts w:ascii="Arial" w:hAnsi="Arial" w:cs="Arial"/>
          <w:sz w:val="22"/>
          <w:szCs w:val="22"/>
        </w:rPr>
        <w:t xml:space="preserve"> 2015. </w:t>
      </w:r>
      <w:r w:rsidR="00B50B02">
        <w:rPr>
          <w:rFonts w:ascii="Arial" w:hAnsi="Arial" w:cs="Arial"/>
          <w:sz w:val="22"/>
          <w:szCs w:val="22"/>
        </w:rPr>
        <w:t>A total of 40</w:t>
      </w:r>
      <w:r w:rsidR="0056030C" w:rsidRPr="008A1483">
        <w:rPr>
          <w:rFonts w:ascii="Arial" w:hAnsi="Arial" w:cs="Arial"/>
          <w:sz w:val="22"/>
          <w:szCs w:val="22"/>
        </w:rPr>
        <w:t xml:space="preserve"> photographic images were taken during the course of the watching brief (GAT photographic a</w:t>
      </w:r>
      <w:r w:rsidR="008A1483" w:rsidRPr="008A1483">
        <w:rPr>
          <w:rFonts w:ascii="Arial" w:hAnsi="Arial" w:cs="Arial"/>
          <w:sz w:val="22"/>
          <w:szCs w:val="22"/>
        </w:rPr>
        <w:t>rchive reference number</w:t>
      </w:r>
      <w:r w:rsidR="00B50B02">
        <w:rPr>
          <w:rFonts w:ascii="Arial" w:hAnsi="Arial" w:cs="Arial"/>
          <w:sz w:val="22"/>
          <w:szCs w:val="22"/>
        </w:rPr>
        <w:t>s G2434_001 to G2434_040</w:t>
      </w:r>
      <w:r w:rsidR="0056030C" w:rsidRPr="008A1483">
        <w:rPr>
          <w:rFonts w:ascii="Arial" w:hAnsi="Arial" w:cs="Arial"/>
          <w:sz w:val="22"/>
          <w:szCs w:val="22"/>
        </w:rPr>
        <w:t xml:space="preserve">; archive metadata reproduced as </w:t>
      </w:r>
      <w:hyperlink w:anchor="_APPENDIX_II" w:history="1">
        <w:r w:rsidR="0056030C" w:rsidRPr="008A1483">
          <w:rPr>
            <w:rStyle w:val="Hyperlink"/>
            <w:rFonts w:ascii="Arial" w:hAnsi="Arial" w:cs="Arial"/>
            <w:sz w:val="22"/>
            <w:szCs w:val="22"/>
          </w:rPr>
          <w:t>Appendix II</w:t>
        </w:r>
      </w:hyperlink>
      <w:r w:rsidR="0056030C" w:rsidRPr="008A1483">
        <w:rPr>
          <w:rFonts w:ascii="Arial" w:hAnsi="Arial" w:cs="Arial"/>
          <w:sz w:val="22"/>
          <w:szCs w:val="22"/>
        </w:rPr>
        <w:t>).</w:t>
      </w:r>
    </w:p>
    <w:p w:rsidR="0070283B" w:rsidRDefault="0070283B" w:rsidP="00D1204B">
      <w:pPr>
        <w:spacing w:line="276" w:lineRule="auto"/>
        <w:jc w:val="both"/>
        <w:rPr>
          <w:rFonts w:ascii="Arial" w:hAnsi="Arial" w:cs="Arial"/>
          <w:sz w:val="22"/>
          <w:szCs w:val="22"/>
        </w:rPr>
      </w:pPr>
    </w:p>
    <w:p w:rsidR="00043295" w:rsidRPr="004F744F" w:rsidRDefault="00B57953" w:rsidP="004F744F">
      <w:pPr>
        <w:pStyle w:val="Heading1"/>
        <w:rPr>
          <w:i/>
        </w:rPr>
      </w:pPr>
      <w:r w:rsidRPr="00C13054">
        <w:br w:type="page"/>
      </w:r>
      <w:bookmarkStart w:id="12" w:name="_Toc432067340"/>
      <w:r w:rsidR="000D6772" w:rsidRPr="004F744F">
        <w:lastRenderedPageBreak/>
        <w:t>4</w:t>
      </w:r>
      <w:r w:rsidR="00043295" w:rsidRPr="004F744F">
        <w:t xml:space="preserve">. </w:t>
      </w:r>
      <w:r w:rsidR="00A40B0E" w:rsidRPr="004F744F">
        <w:t>RESULTS</w:t>
      </w:r>
      <w:bookmarkEnd w:id="12"/>
      <w:r w:rsidR="00A40B0E" w:rsidRPr="004F744F">
        <w:t xml:space="preserve"> </w:t>
      </w:r>
    </w:p>
    <w:p w:rsidR="00CE4829" w:rsidRPr="00156C06" w:rsidRDefault="005546D1" w:rsidP="005546D1">
      <w:pPr>
        <w:pStyle w:val="Heading4"/>
        <w:rPr>
          <w:rStyle w:val="Strong"/>
          <w:rFonts w:ascii="Arial" w:hAnsi="Arial" w:cs="Arial"/>
          <w:b/>
          <w:sz w:val="22"/>
          <w:szCs w:val="22"/>
        </w:rPr>
      </w:pPr>
      <w:r w:rsidRPr="00156C06">
        <w:rPr>
          <w:rStyle w:val="Strong"/>
          <w:rFonts w:ascii="Arial" w:hAnsi="Arial" w:cs="Arial"/>
          <w:b/>
          <w:sz w:val="22"/>
          <w:szCs w:val="22"/>
        </w:rPr>
        <w:t>4.1 Walled Garden</w:t>
      </w:r>
    </w:p>
    <w:p w:rsidR="005546D1" w:rsidRDefault="005546D1" w:rsidP="00EC3ECB">
      <w:pPr>
        <w:spacing w:before="240" w:line="276" w:lineRule="auto"/>
        <w:jc w:val="both"/>
        <w:rPr>
          <w:rFonts w:ascii="Arial" w:hAnsi="Arial" w:cs="Arial"/>
          <w:sz w:val="22"/>
          <w:szCs w:val="22"/>
        </w:rPr>
      </w:pPr>
      <w:r>
        <w:rPr>
          <w:rFonts w:ascii="Arial" w:hAnsi="Arial" w:cs="Arial"/>
          <w:sz w:val="22"/>
          <w:szCs w:val="22"/>
        </w:rPr>
        <w:t xml:space="preserve">The tennis court </w:t>
      </w:r>
      <w:r w:rsidR="00504642" w:rsidRPr="005546D1">
        <w:rPr>
          <w:rFonts w:ascii="Arial" w:hAnsi="Arial" w:cs="Arial"/>
          <w:sz w:val="22"/>
          <w:szCs w:val="22"/>
          <w:lang w:eastAsia="en-GB"/>
        </w:rPr>
        <w:t xml:space="preserve">is situated within the </w:t>
      </w:r>
      <w:r w:rsidR="00504642" w:rsidRPr="005546D1">
        <w:rPr>
          <w:rFonts w:ascii="Arial" w:hAnsi="Arial" w:cs="Arial"/>
          <w:sz w:val="22"/>
          <w:szCs w:val="22"/>
        </w:rPr>
        <w:t>western half of the former walled garden at Rhug (PRN 80574)</w:t>
      </w:r>
      <w:r w:rsidR="00504642">
        <w:rPr>
          <w:rFonts w:ascii="Arial" w:hAnsi="Arial" w:cs="Arial"/>
          <w:sz w:val="22"/>
          <w:szCs w:val="22"/>
        </w:rPr>
        <w:t>. The northern, eastern and southern walls of the garden are extant, with an opening and reinstated brick</w:t>
      </w:r>
      <w:r w:rsidR="008B284A">
        <w:rPr>
          <w:rFonts w:ascii="Arial" w:hAnsi="Arial" w:cs="Arial"/>
          <w:sz w:val="22"/>
          <w:szCs w:val="22"/>
        </w:rPr>
        <w:t xml:space="preserve"> arch at the centre of the east</w:t>
      </w:r>
      <w:r w:rsidR="00504642">
        <w:rPr>
          <w:rFonts w:ascii="Arial" w:hAnsi="Arial" w:cs="Arial"/>
          <w:sz w:val="22"/>
          <w:szCs w:val="22"/>
        </w:rPr>
        <w:t>ern wall and a square in plan</w:t>
      </w:r>
      <w:r w:rsidR="00C944CB">
        <w:rPr>
          <w:rFonts w:ascii="Arial" w:hAnsi="Arial" w:cs="Arial"/>
          <w:sz w:val="22"/>
          <w:szCs w:val="22"/>
        </w:rPr>
        <w:t xml:space="preserve"> building</w:t>
      </w:r>
      <w:r w:rsidR="00504642">
        <w:rPr>
          <w:rFonts w:ascii="Arial" w:hAnsi="Arial" w:cs="Arial"/>
          <w:sz w:val="22"/>
          <w:szCs w:val="22"/>
        </w:rPr>
        <w:t xml:space="preserve">, </w:t>
      </w:r>
      <w:r w:rsidR="00C944CB">
        <w:rPr>
          <w:rFonts w:ascii="Arial" w:hAnsi="Arial" w:cs="Arial"/>
          <w:sz w:val="22"/>
          <w:szCs w:val="22"/>
        </w:rPr>
        <w:t xml:space="preserve">with a </w:t>
      </w:r>
      <w:r w:rsidR="00150F4D">
        <w:rPr>
          <w:rFonts w:ascii="Arial" w:hAnsi="Arial" w:cs="Arial"/>
          <w:sz w:val="22"/>
          <w:szCs w:val="22"/>
        </w:rPr>
        <w:t>slate pitch</w:t>
      </w:r>
      <w:r w:rsidR="00504642">
        <w:rPr>
          <w:rFonts w:ascii="Arial" w:hAnsi="Arial" w:cs="Arial"/>
          <w:sz w:val="22"/>
          <w:szCs w:val="22"/>
        </w:rPr>
        <w:t xml:space="preserve"> roof</w:t>
      </w:r>
      <w:r w:rsidR="00C944CB">
        <w:rPr>
          <w:rFonts w:ascii="Arial" w:hAnsi="Arial" w:cs="Arial"/>
          <w:sz w:val="22"/>
          <w:szCs w:val="22"/>
        </w:rPr>
        <w:t>,</w:t>
      </w:r>
      <w:r w:rsidR="00504642">
        <w:rPr>
          <w:rFonts w:ascii="Arial" w:hAnsi="Arial" w:cs="Arial"/>
          <w:sz w:val="22"/>
          <w:szCs w:val="22"/>
        </w:rPr>
        <w:t xml:space="preserve"> incorporated within the south west corner of the garden. </w:t>
      </w:r>
      <w:r w:rsidR="002C7277">
        <w:rPr>
          <w:rFonts w:ascii="Arial" w:hAnsi="Arial" w:cs="Arial"/>
          <w:sz w:val="22"/>
          <w:szCs w:val="22"/>
        </w:rPr>
        <w:t>The walls and building are brick built</w:t>
      </w:r>
      <w:r w:rsidR="0028154B">
        <w:rPr>
          <w:rFonts w:ascii="Arial" w:hAnsi="Arial" w:cs="Arial"/>
          <w:sz w:val="22"/>
          <w:szCs w:val="22"/>
        </w:rPr>
        <w:t>, with the average brick measuring 0.25m in length, 0.13m in width and 0.06m in depth</w:t>
      </w:r>
      <w:r w:rsidR="002C7277">
        <w:rPr>
          <w:rFonts w:ascii="Arial" w:hAnsi="Arial" w:cs="Arial"/>
          <w:sz w:val="22"/>
          <w:szCs w:val="22"/>
        </w:rPr>
        <w:t>.</w:t>
      </w:r>
      <w:r w:rsidR="00676E14">
        <w:rPr>
          <w:rFonts w:ascii="Arial" w:hAnsi="Arial" w:cs="Arial"/>
          <w:sz w:val="22"/>
          <w:szCs w:val="22"/>
        </w:rPr>
        <w:t xml:space="preserve"> The </w:t>
      </w:r>
      <w:r w:rsidR="007C663C">
        <w:rPr>
          <w:rFonts w:ascii="Arial" w:hAnsi="Arial" w:cs="Arial"/>
          <w:sz w:val="22"/>
          <w:szCs w:val="22"/>
        </w:rPr>
        <w:t xml:space="preserve">garden </w:t>
      </w:r>
      <w:r w:rsidR="00676E14">
        <w:rPr>
          <w:rFonts w:ascii="Arial" w:hAnsi="Arial" w:cs="Arial"/>
          <w:sz w:val="22"/>
          <w:szCs w:val="22"/>
        </w:rPr>
        <w:t>walls appear to be of English bond style, with a distinct step-out or plinth at the base of the wall, which varied in height from 0.50 to 0.65m</w:t>
      </w:r>
      <w:r w:rsidR="008B284A">
        <w:rPr>
          <w:rFonts w:ascii="Arial" w:hAnsi="Arial" w:cs="Arial"/>
          <w:sz w:val="22"/>
          <w:szCs w:val="22"/>
        </w:rPr>
        <w:t>. The garden walls have</w:t>
      </w:r>
      <w:r w:rsidR="00133585">
        <w:rPr>
          <w:rFonts w:ascii="Arial" w:hAnsi="Arial" w:cs="Arial"/>
          <w:sz w:val="22"/>
          <w:szCs w:val="22"/>
        </w:rPr>
        <w:t xml:space="preserve"> a maximum height of 3</w:t>
      </w:r>
      <w:r w:rsidR="00976DB6">
        <w:rPr>
          <w:rFonts w:ascii="Arial" w:hAnsi="Arial" w:cs="Arial"/>
          <w:sz w:val="22"/>
          <w:szCs w:val="22"/>
        </w:rPr>
        <w:t>.0</w:t>
      </w:r>
      <w:r w:rsidR="00133585">
        <w:rPr>
          <w:rFonts w:ascii="Arial" w:hAnsi="Arial" w:cs="Arial"/>
          <w:sz w:val="22"/>
          <w:szCs w:val="22"/>
        </w:rPr>
        <w:t>m</w:t>
      </w:r>
      <w:r w:rsidR="00676E14">
        <w:rPr>
          <w:rFonts w:ascii="Arial" w:hAnsi="Arial" w:cs="Arial"/>
          <w:sz w:val="22"/>
          <w:szCs w:val="22"/>
        </w:rPr>
        <w:t xml:space="preserve">. </w:t>
      </w:r>
    </w:p>
    <w:p w:rsidR="003F787A" w:rsidRDefault="002C7277" w:rsidP="00EC3ECB">
      <w:pPr>
        <w:spacing w:before="240" w:line="276" w:lineRule="auto"/>
        <w:jc w:val="both"/>
        <w:rPr>
          <w:rFonts w:ascii="Arial" w:hAnsi="Arial" w:cs="Arial"/>
          <w:sz w:val="22"/>
          <w:szCs w:val="22"/>
        </w:rPr>
      </w:pPr>
      <w:r>
        <w:rPr>
          <w:rFonts w:ascii="Arial" w:hAnsi="Arial" w:cs="Arial"/>
          <w:sz w:val="22"/>
          <w:szCs w:val="22"/>
        </w:rPr>
        <w:t>The northern</w:t>
      </w:r>
      <w:r w:rsidR="00C62821">
        <w:rPr>
          <w:rFonts w:ascii="Arial" w:hAnsi="Arial" w:cs="Arial"/>
          <w:sz w:val="22"/>
          <w:szCs w:val="22"/>
        </w:rPr>
        <w:t xml:space="preserve"> (Plate 01)</w:t>
      </w:r>
      <w:r>
        <w:rPr>
          <w:rFonts w:ascii="Arial" w:hAnsi="Arial" w:cs="Arial"/>
          <w:sz w:val="22"/>
          <w:szCs w:val="22"/>
        </w:rPr>
        <w:t xml:space="preserve"> and eastern</w:t>
      </w:r>
      <w:r w:rsidR="0001248C">
        <w:rPr>
          <w:rFonts w:ascii="Arial" w:hAnsi="Arial" w:cs="Arial"/>
          <w:sz w:val="22"/>
          <w:szCs w:val="22"/>
        </w:rPr>
        <w:t xml:space="preserve"> (Plate 02)</w:t>
      </w:r>
      <w:r>
        <w:rPr>
          <w:rFonts w:ascii="Arial" w:hAnsi="Arial" w:cs="Arial"/>
          <w:sz w:val="22"/>
          <w:szCs w:val="22"/>
        </w:rPr>
        <w:t xml:space="preserve"> walls have been restored, predominantly re-using</w:t>
      </w:r>
      <w:r w:rsidR="00B800F2">
        <w:rPr>
          <w:rFonts w:ascii="Arial" w:hAnsi="Arial" w:cs="Arial"/>
          <w:sz w:val="22"/>
          <w:szCs w:val="22"/>
        </w:rPr>
        <w:t xml:space="preserve"> the</w:t>
      </w:r>
      <w:r>
        <w:rPr>
          <w:rFonts w:ascii="Arial" w:hAnsi="Arial" w:cs="Arial"/>
          <w:sz w:val="22"/>
          <w:szCs w:val="22"/>
        </w:rPr>
        <w:t xml:space="preserve"> </w:t>
      </w:r>
      <w:r w:rsidR="007C663C">
        <w:rPr>
          <w:rFonts w:ascii="Arial" w:hAnsi="Arial" w:cs="Arial"/>
          <w:sz w:val="22"/>
          <w:szCs w:val="22"/>
        </w:rPr>
        <w:t>brick that have</w:t>
      </w:r>
      <w:r>
        <w:rPr>
          <w:rFonts w:ascii="Arial" w:hAnsi="Arial" w:cs="Arial"/>
          <w:sz w:val="22"/>
          <w:szCs w:val="22"/>
        </w:rPr>
        <w:t xml:space="preserve"> been bonded with pink cement. </w:t>
      </w:r>
      <w:r w:rsidR="0001248C">
        <w:rPr>
          <w:rFonts w:ascii="Arial" w:hAnsi="Arial" w:cs="Arial"/>
          <w:sz w:val="22"/>
          <w:szCs w:val="22"/>
        </w:rPr>
        <w:t>At the base of the east</w:t>
      </w:r>
      <w:r w:rsidR="003F787A">
        <w:rPr>
          <w:rFonts w:ascii="Arial" w:hAnsi="Arial" w:cs="Arial"/>
          <w:sz w:val="22"/>
          <w:szCs w:val="22"/>
        </w:rPr>
        <w:t>ern garden wall there is a row of tree stumps</w:t>
      </w:r>
      <w:r w:rsidR="0001248C">
        <w:rPr>
          <w:rFonts w:ascii="Arial" w:hAnsi="Arial" w:cs="Arial"/>
          <w:sz w:val="22"/>
          <w:szCs w:val="22"/>
        </w:rPr>
        <w:t xml:space="preserve"> (Plate 03)</w:t>
      </w:r>
      <w:r w:rsidR="003F787A">
        <w:rPr>
          <w:rFonts w:ascii="Arial" w:hAnsi="Arial" w:cs="Arial"/>
          <w:sz w:val="22"/>
          <w:szCs w:val="22"/>
        </w:rPr>
        <w:t xml:space="preserve">, which maybe the remnants of fruit trees that were once splayed against the face of the wall. </w:t>
      </w:r>
    </w:p>
    <w:p w:rsidR="002C7277" w:rsidRDefault="007C663C" w:rsidP="00EC3ECB">
      <w:pPr>
        <w:spacing w:before="240" w:line="276" w:lineRule="auto"/>
        <w:jc w:val="both"/>
        <w:rPr>
          <w:rFonts w:ascii="Arial" w:hAnsi="Arial" w:cs="Arial"/>
          <w:sz w:val="22"/>
          <w:szCs w:val="22"/>
        </w:rPr>
      </w:pPr>
      <w:r>
        <w:rPr>
          <w:rFonts w:ascii="Arial" w:hAnsi="Arial" w:cs="Arial"/>
          <w:sz w:val="22"/>
          <w:szCs w:val="22"/>
        </w:rPr>
        <w:t>The arched entra</w:t>
      </w:r>
      <w:r w:rsidR="0001248C">
        <w:rPr>
          <w:rFonts w:ascii="Arial" w:hAnsi="Arial" w:cs="Arial"/>
          <w:sz w:val="22"/>
          <w:szCs w:val="22"/>
        </w:rPr>
        <w:t>nce at the centre of the east</w:t>
      </w:r>
      <w:r>
        <w:rPr>
          <w:rFonts w:ascii="Arial" w:hAnsi="Arial" w:cs="Arial"/>
          <w:sz w:val="22"/>
          <w:szCs w:val="22"/>
        </w:rPr>
        <w:t>ern wall is defined by two weathered grey, rectangular schist stones set vertically, which form the footing for the brick arch with a yellow sandstone keystone at the centre of the arch</w:t>
      </w:r>
      <w:r w:rsidR="0001248C">
        <w:rPr>
          <w:rFonts w:ascii="Arial" w:hAnsi="Arial" w:cs="Arial"/>
          <w:sz w:val="22"/>
          <w:szCs w:val="22"/>
        </w:rPr>
        <w:t xml:space="preserve"> (Plate 04)</w:t>
      </w:r>
      <w:r>
        <w:rPr>
          <w:rFonts w:ascii="Arial" w:hAnsi="Arial" w:cs="Arial"/>
          <w:sz w:val="22"/>
          <w:szCs w:val="22"/>
        </w:rPr>
        <w:t xml:space="preserve">. The schist stones and keystone appear weathered and maybe original features or have been </w:t>
      </w:r>
      <w:r w:rsidR="000E78F7">
        <w:rPr>
          <w:rFonts w:ascii="Arial" w:hAnsi="Arial" w:cs="Arial"/>
          <w:sz w:val="22"/>
          <w:szCs w:val="22"/>
        </w:rPr>
        <w:t xml:space="preserve">re-used from elsewhere </w:t>
      </w:r>
      <w:r>
        <w:rPr>
          <w:rFonts w:ascii="Arial" w:hAnsi="Arial" w:cs="Arial"/>
          <w:sz w:val="22"/>
          <w:szCs w:val="22"/>
        </w:rPr>
        <w:t xml:space="preserve">in the estate grounds. The arch is comprised of modern red bricks bonded with grey cement. </w:t>
      </w:r>
      <w:r w:rsidR="00CE6F16">
        <w:rPr>
          <w:rFonts w:ascii="Arial" w:hAnsi="Arial" w:cs="Arial"/>
          <w:sz w:val="22"/>
          <w:szCs w:val="22"/>
        </w:rPr>
        <w:t>There are three weathered stone steps at the base of the arched entrance. The entrance has a maximum height of 3</w:t>
      </w:r>
      <w:r w:rsidR="00976DB6">
        <w:rPr>
          <w:rFonts w:ascii="Arial" w:hAnsi="Arial" w:cs="Arial"/>
          <w:sz w:val="22"/>
          <w:szCs w:val="22"/>
        </w:rPr>
        <w:t>.0</w:t>
      </w:r>
      <w:r w:rsidR="00CE6F16">
        <w:rPr>
          <w:rFonts w:ascii="Arial" w:hAnsi="Arial" w:cs="Arial"/>
          <w:sz w:val="22"/>
          <w:szCs w:val="22"/>
        </w:rPr>
        <w:t xml:space="preserve">m and span of 2.85m. </w:t>
      </w:r>
    </w:p>
    <w:p w:rsidR="00CE6F16" w:rsidRDefault="00133585" w:rsidP="00EC3ECB">
      <w:pPr>
        <w:spacing w:before="240" w:line="276" w:lineRule="auto"/>
        <w:jc w:val="both"/>
        <w:rPr>
          <w:rFonts w:ascii="Arial" w:hAnsi="Arial" w:cs="Arial"/>
          <w:sz w:val="22"/>
          <w:szCs w:val="22"/>
        </w:rPr>
      </w:pPr>
      <w:r>
        <w:rPr>
          <w:rFonts w:ascii="Arial" w:hAnsi="Arial" w:cs="Arial"/>
          <w:sz w:val="22"/>
          <w:szCs w:val="22"/>
        </w:rPr>
        <w:t>The</w:t>
      </w:r>
      <w:r w:rsidR="009A787E">
        <w:rPr>
          <w:rFonts w:ascii="Arial" w:hAnsi="Arial" w:cs="Arial"/>
          <w:sz w:val="22"/>
          <w:szCs w:val="22"/>
        </w:rPr>
        <w:t xml:space="preserve"> majority</w:t>
      </w:r>
      <w:r>
        <w:rPr>
          <w:rFonts w:ascii="Arial" w:hAnsi="Arial" w:cs="Arial"/>
          <w:sz w:val="22"/>
          <w:szCs w:val="22"/>
        </w:rPr>
        <w:t xml:space="preserve"> southern wall of the garden </w:t>
      </w:r>
      <w:r w:rsidR="00420268">
        <w:rPr>
          <w:rFonts w:ascii="Arial" w:hAnsi="Arial" w:cs="Arial"/>
          <w:sz w:val="22"/>
          <w:szCs w:val="22"/>
        </w:rPr>
        <w:t>appears to be original</w:t>
      </w:r>
      <w:r w:rsidR="0001248C">
        <w:rPr>
          <w:rFonts w:ascii="Arial" w:hAnsi="Arial" w:cs="Arial"/>
          <w:sz w:val="22"/>
          <w:szCs w:val="22"/>
        </w:rPr>
        <w:t xml:space="preserve"> (Plate 05)</w:t>
      </w:r>
      <w:r w:rsidR="00420268">
        <w:rPr>
          <w:rFonts w:ascii="Arial" w:hAnsi="Arial" w:cs="Arial"/>
          <w:sz w:val="22"/>
          <w:szCs w:val="22"/>
        </w:rPr>
        <w:t>, as it is in a more dilapidated</w:t>
      </w:r>
      <w:r w:rsidR="00865C49">
        <w:rPr>
          <w:rFonts w:ascii="Arial" w:hAnsi="Arial" w:cs="Arial"/>
          <w:sz w:val="22"/>
          <w:szCs w:val="22"/>
        </w:rPr>
        <w:t>,</w:t>
      </w:r>
      <w:r w:rsidR="00420268">
        <w:rPr>
          <w:rFonts w:ascii="Arial" w:hAnsi="Arial" w:cs="Arial"/>
          <w:sz w:val="22"/>
          <w:szCs w:val="22"/>
        </w:rPr>
        <w:t xml:space="preserve"> weathered state than the other sections of</w:t>
      </w:r>
      <w:r w:rsidR="00865C49">
        <w:rPr>
          <w:rFonts w:ascii="Arial" w:hAnsi="Arial" w:cs="Arial"/>
          <w:sz w:val="22"/>
          <w:szCs w:val="22"/>
        </w:rPr>
        <w:t xml:space="preserve"> the garden</w:t>
      </w:r>
      <w:r w:rsidR="00420268">
        <w:rPr>
          <w:rFonts w:ascii="Arial" w:hAnsi="Arial" w:cs="Arial"/>
          <w:sz w:val="22"/>
          <w:szCs w:val="22"/>
        </w:rPr>
        <w:t xml:space="preserve"> wall</w:t>
      </w:r>
      <w:r w:rsidR="00865C49">
        <w:rPr>
          <w:rFonts w:ascii="Arial" w:hAnsi="Arial" w:cs="Arial"/>
          <w:sz w:val="22"/>
          <w:szCs w:val="22"/>
        </w:rPr>
        <w:t>, retains original features such as cast iron and round headed nails used to secure the splayed branches of trees and the brick is bonded by coarse light grey lime mortar</w:t>
      </w:r>
      <w:r w:rsidR="00420268">
        <w:rPr>
          <w:rFonts w:ascii="Arial" w:hAnsi="Arial" w:cs="Arial"/>
          <w:sz w:val="22"/>
          <w:szCs w:val="22"/>
        </w:rPr>
        <w:t xml:space="preserve">. </w:t>
      </w:r>
      <w:r w:rsidR="007B1B9E">
        <w:rPr>
          <w:rFonts w:ascii="Arial" w:hAnsi="Arial" w:cs="Arial"/>
          <w:sz w:val="22"/>
          <w:szCs w:val="22"/>
        </w:rPr>
        <w:t xml:space="preserve">A section of this wall, adjacent with </w:t>
      </w:r>
      <w:r w:rsidR="00FC26FE">
        <w:rPr>
          <w:rFonts w:ascii="Arial" w:hAnsi="Arial" w:cs="Arial"/>
          <w:sz w:val="22"/>
          <w:szCs w:val="22"/>
        </w:rPr>
        <w:t>the slate pitch roof building in the south west corner of the garden, has been restored</w:t>
      </w:r>
      <w:r w:rsidR="0001248C">
        <w:rPr>
          <w:rFonts w:ascii="Arial" w:hAnsi="Arial" w:cs="Arial"/>
          <w:sz w:val="22"/>
          <w:szCs w:val="22"/>
        </w:rPr>
        <w:t xml:space="preserve"> (Plate 06)</w:t>
      </w:r>
      <w:r w:rsidR="00FC26FE">
        <w:rPr>
          <w:rFonts w:ascii="Arial" w:hAnsi="Arial" w:cs="Arial"/>
          <w:sz w:val="22"/>
          <w:szCs w:val="22"/>
        </w:rPr>
        <w:t xml:space="preserve"> in the same manner as the northern and eastern garden walls. This section of the southern garden wall may have been restored as it doubles as a wall of a corrugated roof outbuilding on the southern exterior of the walled garden. </w:t>
      </w:r>
    </w:p>
    <w:p w:rsidR="00FC26FE" w:rsidRDefault="00FC26FE" w:rsidP="00EC3ECB">
      <w:pPr>
        <w:spacing w:before="240" w:line="276" w:lineRule="auto"/>
        <w:jc w:val="both"/>
        <w:rPr>
          <w:rFonts w:ascii="Arial" w:hAnsi="Arial" w:cs="Arial"/>
          <w:sz w:val="22"/>
          <w:szCs w:val="22"/>
        </w:rPr>
      </w:pPr>
      <w:r>
        <w:rPr>
          <w:rFonts w:ascii="Arial" w:hAnsi="Arial" w:cs="Arial"/>
          <w:sz w:val="22"/>
          <w:szCs w:val="22"/>
        </w:rPr>
        <w:t xml:space="preserve">The square in plan building located at the south west corner of the walled garden </w:t>
      </w:r>
      <w:r w:rsidR="003B196B">
        <w:rPr>
          <w:rFonts w:ascii="Arial" w:hAnsi="Arial" w:cs="Arial"/>
          <w:sz w:val="22"/>
          <w:szCs w:val="22"/>
        </w:rPr>
        <w:t>is predominately of red brick and lime mortar build with remnants of light grey lime mortar</w:t>
      </w:r>
      <w:r w:rsidR="0001248C">
        <w:rPr>
          <w:rFonts w:ascii="Arial" w:hAnsi="Arial" w:cs="Arial"/>
          <w:sz w:val="22"/>
          <w:szCs w:val="22"/>
        </w:rPr>
        <w:t xml:space="preserve"> (Plate 07)</w:t>
      </w:r>
      <w:r w:rsidR="003B196B">
        <w:rPr>
          <w:rFonts w:ascii="Arial" w:hAnsi="Arial" w:cs="Arial"/>
          <w:sz w:val="22"/>
          <w:szCs w:val="22"/>
        </w:rPr>
        <w:t>. At the time of the watching brief, the building appeared to be in the process of being renovated, as it had a new slate roof with black plastic guttering and down pipes.</w:t>
      </w:r>
      <w:r w:rsidR="0028154B">
        <w:rPr>
          <w:rFonts w:ascii="Arial" w:hAnsi="Arial" w:cs="Arial"/>
          <w:sz w:val="22"/>
          <w:szCs w:val="22"/>
        </w:rPr>
        <w:t xml:space="preserve"> The building had an estimated height of 3.5m to the eaves of the roof and was 3m wide.</w:t>
      </w:r>
      <w:r w:rsidR="003B196B">
        <w:rPr>
          <w:rFonts w:ascii="Arial" w:hAnsi="Arial" w:cs="Arial"/>
          <w:sz w:val="22"/>
          <w:szCs w:val="22"/>
        </w:rPr>
        <w:t xml:space="preserve"> The northern face of the building had a single glazed window set within a wooden window frame, which measured 1.28m in height and 0.95m in width. The brick below this window were larger than those used in the rest of the building measuring 0.22m in length and 0.12m in width. </w:t>
      </w:r>
    </w:p>
    <w:p w:rsidR="00EC3ECB" w:rsidRDefault="00EC3ECB" w:rsidP="00A01B28">
      <w:pPr>
        <w:spacing w:before="240" w:after="240" w:line="276" w:lineRule="auto"/>
        <w:jc w:val="both"/>
        <w:rPr>
          <w:rFonts w:ascii="Arial" w:hAnsi="Arial" w:cs="Arial"/>
          <w:sz w:val="22"/>
          <w:szCs w:val="22"/>
        </w:rPr>
      </w:pPr>
      <w:r>
        <w:rPr>
          <w:rFonts w:ascii="Arial" w:hAnsi="Arial" w:cs="Arial"/>
          <w:sz w:val="22"/>
          <w:szCs w:val="22"/>
        </w:rPr>
        <w:t>The interior of the walled garden is quite even, being covered by long, rough grass, intermixed with weeds</w:t>
      </w:r>
      <w:r w:rsidR="0001248C">
        <w:rPr>
          <w:rFonts w:ascii="Arial" w:hAnsi="Arial" w:cs="Arial"/>
          <w:sz w:val="22"/>
          <w:szCs w:val="22"/>
        </w:rPr>
        <w:t xml:space="preserve"> (Plate 08)</w:t>
      </w:r>
      <w:r>
        <w:rPr>
          <w:rFonts w:ascii="Arial" w:hAnsi="Arial" w:cs="Arial"/>
          <w:sz w:val="22"/>
          <w:szCs w:val="22"/>
        </w:rPr>
        <w:t>. There were indications of a bon fire</w:t>
      </w:r>
      <w:r w:rsidR="0001248C">
        <w:rPr>
          <w:rFonts w:ascii="Arial" w:hAnsi="Arial" w:cs="Arial"/>
          <w:sz w:val="22"/>
          <w:szCs w:val="22"/>
        </w:rPr>
        <w:t xml:space="preserve"> (Plate 09)</w:t>
      </w:r>
      <w:r>
        <w:rPr>
          <w:rFonts w:ascii="Arial" w:hAnsi="Arial" w:cs="Arial"/>
          <w:sz w:val="22"/>
          <w:szCs w:val="22"/>
        </w:rPr>
        <w:t xml:space="preserve"> at the centre of the garden, presumably to clear the area in advance of the ground works for the </w:t>
      </w:r>
      <w:r>
        <w:rPr>
          <w:rFonts w:ascii="Arial" w:hAnsi="Arial" w:cs="Arial"/>
          <w:sz w:val="22"/>
          <w:szCs w:val="22"/>
        </w:rPr>
        <w:lastRenderedPageBreak/>
        <w:t>tennis court. The northern half of the garden included three rows of solar panels, set on top of railway sleepers</w:t>
      </w:r>
      <w:r w:rsidR="0001248C">
        <w:rPr>
          <w:rFonts w:ascii="Arial" w:hAnsi="Arial" w:cs="Arial"/>
          <w:sz w:val="22"/>
          <w:szCs w:val="22"/>
        </w:rPr>
        <w:t xml:space="preserve"> (Plate 10)</w:t>
      </w:r>
      <w:r>
        <w:rPr>
          <w:rFonts w:ascii="Arial" w:hAnsi="Arial" w:cs="Arial"/>
          <w:sz w:val="22"/>
          <w:szCs w:val="22"/>
        </w:rPr>
        <w:t xml:space="preserve">. </w:t>
      </w:r>
    </w:p>
    <w:p w:rsidR="00A01B28" w:rsidRPr="00156C06" w:rsidRDefault="00C00789" w:rsidP="00747565">
      <w:pPr>
        <w:pStyle w:val="Heading4"/>
        <w:rPr>
          <w:rStyle w:val="Strong"/>
          <w:rFonts w:ascii="Arial" w:hAnsi="Arial" w:cs="Arial"/>
          <w:b/>
          <w:sz w:val="22"/>
          <w:szCs w:val="22"/>
        </w:rPr>
      </w:pPr>
      <w:r>
        <w:rPr>
          <w:rStyle w:val="Strong"/>
          <w:rFonts w:ascii="Arial" w:hAnsi="Arial" w:cs="Arial"/>
          <w:b/>
          <w:sz w:val="22"/>
          <w:szCs w:val="22"/>
        </w:rPr>
        <w:t>4.2</w:t>
      </w:r>
      <w:r w:rsidR="00747565">
        <w:rPr>
          <w:rStyle w:val="Strong"/>
          <w:rFonts w:ascii="Arial" w:hAnsi="Arial" w:cs="Arial"/>
          <w:b/>
          <w:sz w:val="22"/>
          <w:szCs w:val="22"/>
        </w:rPr>
        <w:t xml:space="preserve"> Watching Brief</w:t>
      </w:r>
    </w:p>
    <w:p w:rsidR="00EC3ECB" w:rsidRDefault="00691E3A" w:rsidP="00747565">
      <w:pPr>
        <w:spacing w:before="240" w:after="240" w:line="276" w:lineRule="auto"/>
        <w:jc w:val="both"/>
        <w:rPr>
          <w:rFonts w:ascii="Arial" w:hAnsi="Arial" w:cs="Arial"/>
          <w:sz w:val="22"/>
          <w:szCs w:val="22"/>
        </w:rPr>
      </w:pPr>
      <w:r>
        <w:rPr>
          <w:rFonts w:ascii="Arial" w:hAnsi="Arial" w:cs="Arial"/>
          <w:sz w:val="22"/>
          <w:szCs w:val="22"/>
        </w:rPr>
        <w:t xml:space="preserve">The area cleared for </w:t>
      </w:r>
      <w:r w:rsidR="000713BD">
        <w:rPr>
          <w:rFonts w:ascii="Arial" w:hAnsi="Arial" w:cs="Arial"/>
          <w:sz w:val="22"/>
          <w:szCs w:val="22"/>
        </w:rPr>
        <w:t>the tennis court had</w:t>
      </w:r>
      <w:r>
        <w:rPr>
          <w:rFonts w:ascii="Arial" w:hAnsi="Arial" w:cs="Arial"/>
          <w:sz w:val="22"/>
          <w:szCs w:val="22"/>
        </w:rPr>
        <w:t xml:space="preserve"> a length of 35m and width of 19</w:t>
      </w:r>
      <w:r w:rsidR="000713BD">
        <w:rPr>
          <w:rFonts w:ascii="Arial" w:hAnsi="Arial" w:cs="Arial"/>
          <w:sz w:val="22"/>
          <w:szCs w:val="22"/>
        </w:rPr>
        <w:t>m. The area of the tennis court was reduced using a 360° excavator fitted with a wide, toothless bucket</w:t>
      </w:r>
      <w:r w:rsidR="0001248C">
        <w:rPr>
          <w:rFonts w:ascii="Arial" w:hAnsi="Arial" w:cs="Arial"/>
          <w:sz w:val="22"/>
          <w:szCs w:val="22"/>
        </w:rPr>
        <w:t xml:space="preserve"> (Plate 11)</w:t>
      </w:r>
      <w:r w:rsidR="000713BD">
        <w:rPr>
          <w:rFonts w:ascii="Arial" w:hAnsi="Arial" w:cs="Arial"/>
          <w:sz w:val="22"/>
          <w:szCs w:val="22"/>
        </w:rPr>
        <w:t>. The spoil was loaded onto a front loading dumper, with the topsoil</w:t>
      </w:r>
      <w:r w:rsidR="000E1AA8">
        <w:rPr>
          <w:rFonts w:ascii="Arial" w:hAnsi="Arial" w:cs="Arial"/>
          <w:sz w:val="22"/>
          <w:szCs w:val="22"/>
        </w:rPr>
        <w:t xml:space="preserve"> and subsoil</w:t>
      </w:r>
      <w:r w:rsidR="000713BD">
        <w:rPr>
          <w:rFonts w:ascii="Arial" w:hAnsi="Arial" w:cs="Arial"/>
          <w:sz w:val="22"/>
          <w:szCs w:val="22"/>
        </w:rPr>
        <w:t xml:space="preserve"> being deposited</w:t>
      </w:r>
      <w:r w:rsidR="000E1AA8">
        <w:rPr>
          <w:rFonts w:ascii="Arial" w:hAnsi="Arial" w:cs="Arial"/>
          <w:sz w:val="22"/>
          <w:szCs w:val="22"/>
        </w:rPr>
        <w:t xml:space="preserve"> in separate piles</w:t>
      </w:r>
      <w:r w:rsidR="000713BD">
        <w:rPr>
          <w:rFonts w:ascii="Arial" w:hAnsi="Arial" w:cs="Arial"/>
          <w:sz w:val="22"/>
          <w:szCs w:val="22"/>
        </w:rPr>
        <w:t xml:space="preserve"> </w:t>
      </w:r>
      <w:r w:rsidR="000E1AA8">
        <w:rPr>
          <w:rFonts w:ascii="Arial" w:hAnsi="Arial" w:cs="Arial"/>
          <w:sz w:val="22"/>
          <w:szCs w:val="22"/>
        </w:rPr>
        <w:t>along the north eastern edge of the excavation. The topsoil consisted of a</w:t>
      </w:r>
      <w:r w:rsidR="00E64014" w:rsidRPr="00E64014">
        <w:rPr>
          <w:rFonts w:ascii="Arial" w:hAnsi="Arial" w:cs="Arial"/>
          <w:sz w:val="22"/>
          <w:szCs w:val="22"/>
        </w:rPr>
        <w:t xml:space="preserve"> </w:t>
      </w:r>
      <w:r w:rsidR="00E64014">
        <w:rPr>
          <w:rFonts w:ascii="Arial" w:hAnsi="Arial" w:cs="Arial"/>
          <w:sz w:val="22"/>
          <w:szCs w:val="22"/>
        </w:rPr>
        <w:t>fine, cohesive</w:t>
      </w:r>
      <w:r w:rsidR="000E1AA8">
        <w:rPr>
          <w:rFonts w:ascii="Arial" w:hAnsi="Arial" w:cs="Arial"/>
          <w:sz w:val="22"/>
          <w:szCs w:val="22"/>
        </w:rPr>
        <w:t xml:space="preserve"> mid brown silty clay that was mixed with moderate small rounded stones. It varied in depth, being 0.20m along the southern and eastern edge of the excavation and much deeper, at 0.40m, along the centre, western and northern edge of the dig.</w:t>
      </w:r>
      <w:r w:rsidR="008947C6">
        <w:rPr>
          <w:rFonts w:ascii="Arial" w:hAnsi="Arial" w:cs="Arial"/>
          <w:sz w:val="22"/>
          <w:szCs w:val="22"/>
        </w:rPr>
        <w:t xml:space="preserve"> Sherds of glazed earthenware and flower pots were retrieved from the</w:t>
      </w:r>
      <w:r w:rsidR="00796A39">
        <w:rPr>
          <w:rFonts w:ascii="Arial" w:hAnsi="Arial" w:cs="Arial"/>
          <w:sz w:val="22"/>
          <w:szCs w:val="22"/>
        </w:rPr>
        <w:t xml:space="preserve"> topsoil during the strip. The</w:t>
      </w:r>
      <w:r w:rsidR="008947C6">
        <w:rPr>
          <w:rFonts w:ascii="Arial" w:hAnsi="Arial" w:cs="Arial"/>
          <w:sz w:val="22"/>
          <w:szCs w:val="22"/>
        </w:rPr>
        <w:t xml:space="preserve"> presence</w:t>
      </w:r>
      <w:r w:rsidR="00796A39">
        <w:rPr>
          <w:rFonts w:ascii="Arial" w:hAnsi="Arial" w:cs="Arial"/>
          <w:sz w:val="22"/>
          <w:szCs w:val="22"/>
        </w:rPr>
        <w:t xml:space="preserve"> of the sherds</w:t>
      </w:r>
      <w:r w:rsidR="008947C6">
        <w:rPr>
          <w:rFonts w:ascii="Arial" w:hAnsi="Arial" w:cs="Arial"/>
          <w:sz w:val="22"/>
          <w:szCs w:val="22"/>
        </w:rPr>
        <w:t xml:space="preserve"> was noted but the</w:t>
      </w:r>
      <w:r w:rsidR="00796A39">
        <w:rPr>
          <w:rFonts w:ascii="Arial" w:hAnsi="Arial" w:cs="Arial"/>
          <w:sz w:val="22"/>
          <w:szCs w:val="22"/>
        </w:rPr>
        <w:t>y</w:t>
      </w:r>
      <w:r w:rsidR="008947C6">
        <w:rPr>
          <w:rFonts w:ascii="Arial" w:hAnsi="Arial" w:cs="Arial"/>
          <w:sz w:val="22"/>
          <w:szCs w:val="22"/>
        </w:rPr>
        <w:t xml:space="preserve"> were not retained. During the removal of the topsoil </w:t>
      </w:r>
      <w:r w:rsidR="000E1AA8">
        <w:rPr>
          <w:rFonts w:ascii="Arial" w:hAnsi="Arial" w:cs="Arial"/>
          <w:sz w:val="22"/>
          <w:szCs w:val="22"/>
        </w:rPr>
        <w:t xml:space="preserve">two gravel paths, contexts [003] and [004] were uncovered along the southern and close to the northern limit of excavation. </w:t>
      </w:r>
    </w:p>
    <w:p w:rsidR="000E1AA8" w:rsidRDefault="009B6EEA" w:rsidP="00A01B28">
      <w:pPr>
        <w:spacing w:after="240" w:line="276" w:lineRule="auto"/>
        <w:jc w:val="both"/>
        <w:rPr>
          <w:rFonts w:ascii="Arial" w:hAnsi="Arial" w:cs="Arial"/>
          <w:sz w:val="22"/>
          <w:szCs w:val="22"/>
        </w:rPr>
      </w:pPr>
      <w:r>
        <w:rPr>
          <w:rFonts w:ascii="Arial" w:hAnsi="Arial" w:cs="Arial"/>
          <w:sz w:val="22"/>
          <w:szCs w:val="22"/>
        </w:rPr>
        <w:t xml:space="preserve">Context [003] was a garden path that consisted of </w:t>
      </w:r>
      <w:proofErr w:type="gramStart"/>
      <w:r>
        <w:rPr>
          <w:rFonts w:ascii="Arial" w:hAnsi="Arial" w:cs="Arial"/>
          <w:sz w:val="22"/>
          <w:szCs w:val="22"/>
        </w:rPr>
        <w:t>a loose</w:t>
      </w:r>
      <w:proofErr w:type="gramEnd"/>
      <w:r>
        <w:rPr>
          <w:rFonts w:ascii="Arial" w:hAnsi="Arial" w:cs="Arial"/>
          <w:sz w:val="22"/>
          <w:szCs w:val="22"/>
        </w:rPr>
        <w:t xml:space="preserve"> light greyish blue </w:t>
      </w:r>
      <w:r w:rsidR="002923FD">
        <w:rPr>
          <w:rFonts w:ascii="Arial" w:hAnsi="Arial" w:cs="Arial"/>
          <w:sz w:val="22"/>
          <w:szCs w:val="22"/>
        </w:rPr>
        <w:t>fine gravel mixed with frequent small to moderat</w:t>
      </w:r>
      <w:r w:rsidR="00796A39">
        <w:rPr>
          <w:rFonts w:ascii="Arial" w:hAnsi="Arial" w:cs="Arial"/>
          <w:sz w:val="22"/>
          <w:szCs w:val="22"/>
        </w:rPr>
        <w:t>e sized cobbles. The path had a</w:t>
      </w:r>
      <w:r w:rsidR="002923FD">
        <w:rPr>
          <w:rFonts w:ascii="Arial" w:hAnsi="Arial" w:cs="Arial"/>
          <w:sz w:val="22"/>
          <w:szCs w:val="22"/>
        </w:rPr>
        <w:t xml:space="preserve"> south eastern-north western orientation, being parallel with and within 3</w:t>
      </w:r>
      <w:r w:rsidR="00976DB6">
        <w:rPr>
          <w:rFonts w:ascii="Arial" w:hAnsi="Arial" w:cs="Arial"/>
          <w:sz w:val="22"/>
          <w:szCs w:val="22"/>
        </w:rPr>
        <w:t>.0</w:t>
      </w:r>
      <w:r w:rsidR="002923FD">
        <w:rPr>
          <w:rFonts w:ascii="Arial" w:hAnsi="Arial" w:cs="Arial"/>
          <w:sz w:val="22"/>
          <w:szCs w:val="22"/>
        </w:rPr>
        <w:t>m of the southern garden wall</w:t>
      </w:r>
      <w:r w:rsidR="009632CD">
        <w:rPr>
          <w:rFonts w:ascii="Arial" w:hAnsi="Arial" w:cs="Arial"/>
          <w:sz w:val="22"/>
          <w:szCs w:val="22"/>
        </w:rPr>
        <w:t xml:space="preserve"> (Figure 03</w:t>
      </w:r>
      <w:r w:rsidR="0001248C">
        <w:rPr>
          <w:rFonts w:ascii="Arial" w:hAnsi="Arial" w:cs="Arial"/>
          <w:sz w:val="22"/>
          <w:szCs w:val="22"/>
        </w:rPr>
        <w:t xml:space="preserve"> &amp; Plate 12</w:t>
      </w:r>
      <w:r w:rsidR="009632CD">
        <w:rPr>
          <w:rFonts w:ascii="Arial" w:hAnsi="Arial" w:cs="Arial"/>
          <w:sz w:val="22"/>
          <w:szCs w:val="22"/>
        </w:rPr>
        <w:t>)</w:t>
      </w:r>
      <w:r w:rsidR="002923FD">
        <w:rPr>
          <w:rFonts w:ascii="Arial" w:hAnsi="Arial" w:cs="Arial"/>
          <w:sz w:val="22"/>
          <w:szCs w:val="22"/>
        </w:rPr>
        <w:t>. The bulk of the path was composed of cobbles</w:t>
      </w:r>
      <w:r w:rsidR="009965A1">
        <w:rPr>
          <w:rFonts w:ascii="Arial" w:hAnsi="Arial" w:cs="Arial"/>
          <w:sz w:val="22"/>
          <w:szCs w:val="22"/>
        </w:rPr>
        <w:t>,</w:t>
      </w:r>
      <w:r w:rsidR="002923FD">
        <w:rPr>
          <w:rFonts w:ascii="Arial" w:hAnsi="Arial" w:cs="Arial"/>
          <w:sz w:val="22"/>
          <w:szCs w:val="22"/>
        </w:rPr>
        <w:t xml:space="preserve"> which was overlaid by a layer of ‘pea’ gravel, which formed the surface of the path. Context [</w:t>
      </w:r>
      <w:r w:rsidR="00924845">
        <w:rPr>
          <w:rFonts w:ascii="Arial" w:hAnsi="Arial" w:cs="Arial"/>
          <w:sz w:val="22"/>
          <w:szCs w:val="22"/>
        </w:rPr>
        <w:t>003] had an exposed length of 16</w:t>
      </w:r>
      <w:r w:rsidR="002923FD">
        <w:rPr>
          <w:rFonts w:ascii="Arial" w:hAnsi="Arial" w:cs="Arial"/>
          <w:sz w:val="22"/>
          <w:szCs w:val="22"/>
        </w:rPr>
        <w:t>.5m, width of 0.80m and maximum depth of 0.20m</w:t>
      </w:r>
      <w:r w:rsidR="007D2F5E">
        <w:rPr>
          <w:rFonts w:ascii="Arial" w:hAnsi="Arial" w:cs="Arial"/>
          <w:sz w:val="22"/>
          <w:szCs w:val="22"/>
        </w:rPr>
        <w:t xml:space="preserve"> (Plate 13)</w:t>
      </w:r>
      <w:r w:rsidR="002923FD">
        <w:rPr>
          <w:rFonts w:ascii="Arial" w:hAnsi="Arial" w:cs="Arial"/>
          <w:sz w:val="22"/>
          <w:szCs w:val="22"/>
        </w:rPr>
        <w:t xml:space="preserve">. </w:t>
      </w:r>
      <w:r w:rsidR="009965A1">
        <w:rPr>
          <w:rFonts w:ascii="Arial" w:hAnsi="Arial" w:cs="Arial"/>
          <w:sz w:val="22"/>
          <w:szCs w:val="22"/>
        </w:rPr>
        <w:t xml:space="preserve">The path was laid on top of the subsoil, context [006]. </w:t>
      </w:r>
      <w:r w:rsidR="004A612E">
        <w:rPr>
          <w:rFonts w:ascii="Arial" w:hAnsi="Arial" w:cs="Arial"/>
          <w:sz w:val="22"/>
          <w:szCs w:val="22"/>
        </w:rPr>
        <w:t>Perpendicular</w:t>
      </w:r>
      <w:r w:rsidR="009965A1">
        <w:rPr>
          <w:rFonts w:ascii="Arial" w:hAnsi="Arial" w:cs="Arial"/>
          <w:sz w:val="22"/>
          <w:szCs w:val="22"/>
        </w:rPr>
        <w:t xml:space="preserve"> to</w:t>
      </w:r>
      <w:r w:rsidR="004A612E">
        <w:rPr>
          <w:rFonts w:ascii="Arial" w:hAnsi="Arial" w:cs="Arial"/>
          <w:sz w:val="22"/>
          <w:szCs w:val="22"/>
        </w:rPr>
        <w:t xml:space="preserve"> [003] was another</w:t>
      </w:r>
      <w:r w:rsidR="009965A1">
        <w:rPr>
          <w:rFonts w:ascii="Arial" w:hAnsi="Arial" w:cs="Arial"/>
          <w:sz w:val="22"/>
          <w:szCs w:val="22"/>
        </w:rPr>
        <w:t xml:space="preserve"> stone path, context [004]</w:t>
      </w:r>
      <w:r w:rsidR="004A612E">
        <w:rPr>
          <w:rFonts w:ascii="Arial" w:hAnsi="Arial" w:cs="Arial"/>
          <w:sz w:val="22"/>
          <w:szCs w:val="22"/>
        </w:rPr>
        <w:t xml:space="preserve"> which was composed of loose light greyish blue fine gravel mixed with frequent small to moderate sized cobbles. </w:t>
      </w:r>
      <w:r w:rsidR="00976DB6">
        <w:rPr>
          <w:rFonts w:ascii="Arial" w:hAnsi="Arial" w:cs="Arial"/>
          <w:sz w:val="22"/>
          <w:szCs w:val="22"/>
        </w:rPr>
        <w:t>Context [004] was set on a northeast x southwest axis</w:t>
      </w:r>
      <w:r w:rsidR="0001248C">
        <w:rPr>
          <w:rFonts w:ascii="Arial" w:hAnsi="Arial" w:cs="Arial"/>
          <w:sz w:val="22"/>
          <w:szCs w:val="22"/>
        </w:rPr>
        <w:t xml:space="preserve"> (Pl</w:t>
      </w:r>
      <w:r w:rsidR="007D2F5E">
        <w:rPr>
          <w:rFonts w:ascii="Arial" w:hAnsi="Arial" w:cs="Arial"/>
          <w:sz w:val="22"/>
          <w:szCs w:val="22"/>
        </w:rPr>
        <w:t>ate 14</w:t>
      </w:r>
      <w:r w:rsidR="0001248C">
        <w:rPr>
          <w:rFonts w:ascii="Arial" w:hAnsi="Arial" w:cs="Arial"/>
          <w:sz w:val="22"/>
          <w:szCs w:val="22"/>
        </w:rPr>
        <w:t>)</w:t>
      </w:r>
      <w:r w:rsidR="00976DB6">
        <w:rPr>
          <w:rFonts w:ascii="Arial" w:hAnsi="Arial" w:cs="Arial"/>
          <w:sz w:val="22"/>
          <w:szCs w:val="22"/>
        </w:rPr>
        <w:t xml:space="preserve">, with an exposed length of 19m, width of 1.10m and depth of 0.20m. It was within 7.0m </w:t>
      </w:r>
      <w:r w:rsidR="00DB14E2">
        <w:rPr>
          <w:rFonts w:ascii="Arial" w:hAnsi="Arial" w:cs="Arial"/>
          <w:sz w:val="22"/>
          <w:szCs w:val="22"/>
        </w:rPr>
        <w:t>of the western limit of excavation</w:t>
      </w:r>
      <w:r w:rsidR="009632CD">
        <w:rPr>
          <w:rFonts w:ascii="Arial" w:hAnsi="Arial" w:cs="Arial"/>
          <w:sz w:val="22"/>
          <w:szCs w:val="22"/>
        </w:rPr>
        <w:t xml:space="preserve"> (Figure 03)</w:t>
      </w:r>
      <w:r w:rsidR="00DB14E2">
        <w:rPr>
          <w:rFonts w:ascii="Arial" w:hAnsi="Arial" w:cs="Arial"/>
          <w:sz w:val="22"/>
          <w:szCs w:val="22"/>
        </w:rPr>
        <w:t xml:space="preserve">. The path overlaid context [005] a compact, fine orange clay with no inclusions and appeared to be bedding for context [004]. </w:t>
      </w:r>
      <w:r w:rsidR="00576B07" w:rsidRPr="00BE4605">
        <w:rPr>
          <w:rFonts w:ascii="Arial" w:hAnsi="Arial" w:cs="Arial"/>
          <w:sz w:val="22"/>
          <w:szCs w:val="22"/>
        </w:rPr>
        <w:t>The paths appear to be contemporary, given their near identical composition and stratigraphy</w:t>
      </w:r>
      <w:r w:rsidR="00BE4605">
        <w:rPr>
          <w:rFonts w:ascii="Arial" w:hAnsi="Arial" w:cs="Arial"/>
          <w:sz w:val="22"/>
          <w:szCs w:val="22"/>
        </w:rPr>
        <w:t xml:space="preserve"> (the paths were below the topsoil and laid on top of the subsoil)</w:t>
      </w:r>
      <w:r w:rsidR="00576B07" w:rsidRPr="00BE4605">
        <w:rPr>
          <w:rFonts w:ascii="Arial" w:hAnsi="Arial" w:cs="Arial"/>
          <w:sz w:val="22"/>
          <w:szCs w:val="22"/>
        </w:rPr>
        <w:t>.</w:t>
      </w:r>
      <w:r w:rsidR="00576B07">
        <w:rPr>
          <w:rFonts w:ascii="Arial" w:hAnsi="Arial" w:cs="Arial"/>
          <w:sz w:val="22"/>
          <w:szCs w:val="22"/>
        </w:rPr>
        <w:t xml:space="preserve"> </w:t>
      </w:r>
      <w:r w:rsidR="009F75E9">
        <w:rPr>
          <w:rFonts w:ascii="Arial" w:hAnsi="Arial" w:cs="Arial"/>
          <w:sz w:val="22"/>
          <w:szCs w:val="22"/>
        </w:rPr>
        <w:t xml:space="preserve">No artefacts were recovered from contexts [003], [004] or [005]. </w:t>
      </w:r>
    </w:p>
    <w:p w:rsidR="00A01B28" w:rsidRPr="00A01B28" w:rsidRDefault="00E753FF" w:rsidP="00A01B28">
      <w:pPr>
        <w:spacing w:after="240" w:line="276" w:lineRule="auto"/>
        <w:jc w:val="both"/>
        <w:rPr>
          <w:rFonts w:ascii="Arial" w:hAnsi="Arial" w:cs="Arial"/>
          <w:sz w:val="22"/>
          <w:szCs w:val="22"/>
        </w:rPr>
      </w:pPr>
      <w:r>
        <w:rPr>
          <w:rFonts w:ascii="Arial" w:hAnsi="Arial" w:cs="Arial"/>
          <w:sz w:val="22"/>
          <w:szCs w:val="22"/>
        </w:rPr>
        <w:t>Contexts [001], [003-005] overlaid subsoil, context [006] a loose fine mid-greyish brown clayey gravel mixed with frequent small stones and moderate small pebbles. It wa</w:t>
      </w:r>
      <w:r w:rsidR="00EB522E">
        <w:rPr>
          <w:rFonts w:ascii="Arial" w:hAnsi="Arial" w:cs="Arial"/>
          <w:sz w:val="22"/>
          <w:szCs w:val="22"/>
        </w:rPr>
        <w:t>s present across the whole area</w:t>
      </w:r>
      <w:r>
        <w:rPr>
          <w:rFonts w:ascii="Arial" w:hAnsi="Arial" w:cs="Arial"/>
          <w:sz w:val="22"/>
          <w:szCs w:val="22"/>
        </w:rPr>
        <w:t xml:space="preserve"> of excavation with an average depth of 0.20m. The subsoil was removed entirely within 12m of the western edge of the limit of excavation and this exposed the underlying natural, context [002], </w:t>
      </w:r>
      <w:proofErr w:type="gramStart"/>
      <w:r>
        <w:rPr>
          <w:rFonts w:ascii="Arial" w:hAnsi="Arial" w:cs="Arial"/>
          <w:sz w:val="22"/>
          <w:szCs w:val="22"/>
        </w:rPr>
        <w:t>a loose</w:t>
      </w:r>
      <w:proofErr w:type="gramEnd"/>
      <w:r>
        <w:rPr>
          <w:rFonts w:ascii="Arial" w:hAnsi="Arial" w:cs="Arial"/>
          <w:sz w:val="22"/>
          <w:szCs w:val="22"/>
        </w:rPr>
        <w:t>, coarse orange clayey gravel mixed with frequent small to moderate sized pebbles</w:t>
      </w:r>
      <w:r w:rsidR="007D2F5E">
        <w:rPr>
          <w:rFonts w:ascii="Arial" w:hAnsi="Arial" w:cs="Arial"/>
          <w:sz w:val="22"/>
          <w:szCs w:val="22"/>
        </w:rPr>
        <w:t xml:space="preserve"> (Plate 15</w:t>
      </w:r>
      <w:r w:rsidR="0001248C">
        <w:rPr>
          <w:rFonts w:ascii="Arial" w:hAnsi="Arial" w:cs="Arial"/>
          <w:sz w:val="22"/>
          <w:szCs w:val="22"/>
        </w:rPr>
        <w:t>)</w:t>
      </w:r>
      <w:r>
        <w:rPr>
          <w:rFonts w:ascii="Arial" w:hAnsi="Arial" w:cs="Arial"/>
          <w:sz w:val="22"/>
          <w:szCs w:val="22"/>
        </w:rPr>
        <w:t xml:space="preserve">. </w:t>
      </w:r>
      <w:r w:rsidR="00C53CCF">
        <w:rPr>
          <w:rFonts w:ascii="Arial" w:hAnsi="Arial" w:cs="Arial"/>
          <w:sz w:val="22"/>
          <w:szCs w:val="22"/>
        </w:rPr>
        <w:t>In the remainder of the excavated area, the ground level was reduced to within but not below the level of the subsoil. Most of the subsoil that had been stripped off the western edge of the excavation was deposited, levelled and then compacted at the eastern limit to ensure a more level surface across the length of the tennis court</w:t>
      </w:r>
      <w:r w:rsidR="007D2F5E">
        <w:rPr>
          <w:rFonts w:ascii="Arial" w:hAnsi="Arial" w:cs="Arial"/>
          <w:sz w:val="22"/>
          <w:szCs w:val="22"/>
        </w:rPr>
        <w:t xml:space="preserve"> (Plate 16</w:t>
      </w:r>
      <w:r w:rsidR="0001248C">
        <w:rPr>
          <w:rFonts w:ascii="Arial" w:hAnsi="Arial" w:cs="Arial"/>
          <w:sz w:val="22"/>
          <w:szCs w:val="22"/>
        </w:rPr>
        <w:t>)</w:t>
      </w:r>
      <w:r w:rsidR="00C53CCF">
        <w:rPr>
          <w:rFonts w:ascii="Arial" w:hAnsi="Arial" w:cs="Arial"/>
          <w:sz w:val="22"/>
          <w:szCs w:val="22"/>
        </w:rPr>
        <w:t xml:space="preserve">. </w:t>
      </w:r>
      <w:r w:rsidR="00A01B28" w:rsidRPr="00A01B28">
        <w:rPr>
          <w:rFonts w:ascii="Arial" w:hAnsi="Arial" w:cs="Arial"/>
          <w:color w:val="000000"/>
          <w:sz w:val="22"/>
          <w:szCs w:val="22"/>
        </w:rPr>
        <w:t>The</w:t>
      </w:r>
      <w:r w:rsidR="00A01B28">
        <w:rPr>
          <w:rFonts w:ascii="Arial" w:hAnsi="Arial" w:cs="Arial"/>
          <w:color w:val="000000"/>
          <w:sz w:val="22"/>
          <w:szCs w:val="22"/>
        </w:rPr>
        <w:t xml:space="preserve"> site contractor then</w:t>
      </w:r>
      <w:r w:rsidR="00A01B28" w:rsidRPr="00A01B28">
        <w:rPr>
          <w:rFonts w:ascii="Arial" w:hAnsi="Arial" w:cs="Arial"/>
          <w:color w:val="000000"/>
          <w:sz w:val="22"/>
          <w:szCs w:val="22"/>
        </w:rPr>
        <w:t xml:space="preserve"> excavate</w:t>
      </w:r>
      <w:r w:rsidR="00A01B28">
        <w:rPr>
          <w:rFonts w:ascii="Arial" w:hAnsi="Arial" w:cs="Arial"/>
          <w:color w:val="000000"/>
          <w:sz w:val="22"/>
          <w:szCs w:val="22"/>
        </w:rPr>
        <w:t>d</w:t>
      </w:r>
      <w:r w:rsidR="00A01B28" w:rsidRPr="00A01B28">
        <w:rPr>
          <w:rFonts w:ascii="Arial" w:hAnsi="Arial" w:cs="Arial"/>
          <w:color w:val="000000"/>
          <w:sz w:val="22"/>
          <w:szCs w:val="22"/>
        </w:rPr>
        <w:t xml:space="preserve"> a narrow and shallow pipe t</w:t>
      </w:r>
      <w:r w:rsidR="00A01B28">
        <w:rPr>
          <w:rFonts w:ascii="Arial" w:hAnsi="Arial" w:cs="Arial"/>
          <w:color w:val="000000"/>
          <w:sz w:val="22"/>
          <w:szCs w:val="22"/>
        </w:rPr>
        <w:t xml:space="preserve">rench (maximum depth of 0.20m) </w:t>
      </w:r>
      <w:r w:rsidR="00A01B28" w:rsidRPr="00A01B28">
        <w:rPr>
          <w:rFonts w:ascii="Arial" w:hAnsi="Arial" w:cs="Arial"/>
          <w:color w:val="000000"/>
          <w:sz w:val="22"/>
          <w:szCs w:val="22"/>
        </w:rPr>
        <w:t>along the perimeter of the tennis court to allow the insertion of a drainag</w:t>
      </w:r>
      <w:r w:rsidR="00A01B28">
        <w:rPr>
          <w:rFonts w:ascii="Arial" w:hAnsi="Arial" w:cs="Arial"/>
          <w:color w:val="000000"/>
          <w:sz w:val="22"/>
          <w:szCs w:val="22"/>
        </w:rPr>
        <w:t>e pipe. This pipe trench was</w:t>
      </w:r>
      <w:r w:rsidR="00A01B28" w:rsidRPr="00A01B28">
        <w:rPr>
          <w:rFonts w:ascii="Arial" w:hAnsi="Arial" w:cs="Arial"/>
          <w:color w:val="000000"/>
          <w:sz w:val="22"/>
          <w:szCs w:val="22"/>
        </w:rPr>
        <w:t xml:space="preserve"> excavated through exposed</w:t>
      </w:r>
      <w:r w:rsidR="00A01B28">
        <w:rPr>
          <w:rFonts w:ascii="Arial" w:hAnsi="Arial" w:cs="Arial"/>
          <w:color w:val="000000"/>
          <w:sz w:val="22"/>
          <w:szCs w:val="22"/>
        </w:rPr>
        <w:t xml:space="preserve"> natural or re-deposited subsoil</w:t>
      </w:r>
      <w:r w:rsidR="00A01B28" w:rsidRPr="00A01B28">
        <w:rPr>
          <w:rFonts w:ascii="Arial" w:hAnsi="Arial" w:cs="Arial"/>
          <w:color w:val="000000"/>
          <w:sz w:val="22"/>
          <w:szCs w:val="22"/>
        </w:rPr>
        <w:t>.</w:t>
      </w:r>
      <w:r w:rsidR="00A01B28">
        <w:rPr>
          <w:rFonts w:ascii="Arial" w:hAnsi="Arial" w:cs="Arial"/>
          <w:color w:val="000000"/>
          <w:sz w:val="22"/>
          <w:szCs w:val="22"/>
        </w:rPr>
        <w:t xml:space="preserve"> Based on the lack of significant archaeological remains and following consultation with the development control officer, it was determined that this work did not need to be monitored as part of the watching brief. </w:t>
      </w:r>
    </w:p>
    <w:p w:rsidR="00043295" w:rsidRPr="00C13054" w:rsidRDefault="000D6772" w:rsidP="000C03CB">
      <w:pPr>
        <w:pStyle w:val="Heading1"/>
        <w:spacing w:before="0" w:after="0"/>
        <w:rPr>
          <w:i/>
        </w:rPr>
      </w:pPr>
      <w:bookmarkStart w:id="13" w:name="_Toc432067341"/>
      <w:r w:rsidRPr="00C13054">
        <w:lastRenderedPageBreak/>
        <w:t>5</w:t>
      </w:r>
      <w:r w:rsidR="00A40B0E" w:rsidRPr="00C13054">
        <w:t xml:space="preserve">. </w:t>
      </w:r>
      <w:r w:rsidR="00B800F2">
        <w:t>DISCUSSION</w:t>
      </w:r>
      <w:bookmarkEnd w:id="13"/>
      <w:r w:rsidR="00FD36BE">
        <w:t xml:space="preserve"> </w:t>
      </w:r>
    </w:p>
    <w:p w:rsidR="00B800F2" w:rsidRDefault="00D05EA2" w:rsidP="00C22AE3">
      <w:pPr>
        <w:spacing w:before="240" w:line="276" w:lineRule="auto"/>
        <w:jc w:val="both"/>
        <w:rPr>
          <w:rFonts w:ascii="Arial" w:eastAsia="Calibri" w:hAnsi="Arial" w:cs="Arial"/>
          <w:color w:val="000000"/>
          <w:sz w:val="22"/>
          <w:szCs w:val="22"/>
        </w:rPr>
      </w:pPr>
      <w:r>
        <w:rPr>
          <w:rFonts w:ascii="Arial" w:eastAsia="Calibri" w:hAnsi="Arial" w:cs="Arial"/>
          <w:color w:val="000000"/>
          <w:sz w:val="22"/>
          <w:szCs w:val="22"/>
        </w:rPr>
        <w:t xml:space="preserve">Further to the archaeological watching brief additional research was undertaken to provide context to the features uncovered and more information on the walled garden. The earliest depiction of the walled garden that was sourced during this research was of an estate map of Rhug dated to 1791 (Figure 04). The walled garden is clearly depicted on the estate map, with a cruciform layout of paths and an apparent structure located in the south-eastern corner. Notably the walled garden had been constructed while the </w:t>
      </w:r>
      <w:r w:rsidR="00FC6E07">
        <w:rPr>
          <w:rFonts w:ascii="Arial" w:eastAsia="Calibri" w:hAnsi="Arial" w:cs="Arial"/>
          <w:color w:val="000000"/>
          <w:sz w:val="22"/>
          <w:szCs w:val="22"/>
        </w:rPr>
        <w:t>earlier estate house was still extant and prior to the construction of the present house (PRN 25660). It has been suggested that the walled garden was constructed for Edward Vaughan after 1780 (Haslam R.,</w:t>
      </w:r>
      <w:r w:rsidR="0071044B">
        <w:rPr>
          <w:rFonts w:ascii="Arial" w:eastAsia="Calibri" w:hAnsi="Arial" w:cs="Arial"/>
          <w:color w:val="000000"/>
          <w:sz w:val="22"/>
          <w:szCs w:val="22"/>
        </w:rPr>
        <w:t xml:space="preserve"> </w:t>
      </w:r>
      <w:proofErr w:type="spellStart"/>
      <w:r w:rsidR="0071044B">
        <w:rPr>
          <w:rFonts w:ascii="Arial" w:eastAsia="Calibri" w:hAnsi="Arial" w:cs="Arial"/>
          <w:color w:val="000000"/>
          <w:sz w:val="22"/>
          <w:szCs w:val="22"/>
        </w:rPr>
        <w:t>Orbach</w:t>
      </w:r>
      <w:proofErr w:type="spellEnd"/>
      <w:r w:rsidR="0071044B">
        <w:rPr>
          <w:rFonts w:ascii="Arial" w:eastAsia="Calibri" w:hAnsi="Arial" w:cs="Arial"/>
          <w:color w:val="000000"/>
          <w:sz w:val="22"/>
          <w:szCs w:val="22"/>
        </w:rPr>
        <w:t xml:space="preserve"> J., </w:t>
      </w:r>
      <w:proofErr w:type="spellStart"/>
      <w:r w:rsidR="0071044B">
        <w:rPr>
          <w:rFonts w:ascii="Arial" w:eastAsia="Calibri" w:hAnsi="Arial" w:cs="Arial"/>
          <w:color w:val="000000"/>
          <w:sz w:val="22"/>
          <w:szCs w:val="22"/>
        </w:rPr>
        <w:t>Voelcker</w:t>
      </w:r>
      <w:proofErr w:type="spellEnd"/>
      <w:r w:rsidR="0071044B">
        <w:rPr>
          <w:rFonts w:ascii="Arial" w:eastAsia="Calibri" w:hAnsi="Arial" w:cs="Arial"/>
          <w:color w:val="000000"/>
          <w:sz w:val="22"/>
          <w:szCs w:val="22"/>
        </w:rPr>
        <w:t xml:space="preserve"> A.,</w:t>
      </w:r>
      <w:r w:rsidR="00FC6E07">
        <w:rPr>
          <w:rFonts w:ascii="Arial" w:eastAsia="Calibri" w:hAnsi="Arial" w:cs="Arial"/>
          <w:color w:val="000000"/>
          <w:sz w:val="22"/>
          <w:szCs w:val="22"/>
        </w:rPr>
        <w:t xml:space="preserve"> 2009). </w:t>
      </w:r>
      <w:r w:rsidR="0026245E">
        <w:rPr>
          <w:rFonts w:ascii="Arial" w:eastAsia="Calibri" w:hAnsi="Arial" w:cs="Arial"/>
          <w:color w:val="000000"/>
          <w:sz w:val="22"/>
          <w:szCs w:val="22"/>
        </w:rPr>
        <w:t xml:space="preserve">This would place the </w:t>
      </w:r>
      <w:r w:rsidR="00D94356">
        <w:rPr>
          <w:rFonts w:ascii="Arial" w:eastAsia="Calibri" w:hAnsi="Arial" w:cs="Arial"/>
          <w:color w:val="000000"/>
          <w:sz w:val="22"/>
          <w:szCs w:val="22"/>
        </w:rPr>
        <w:t>creation of the walled garden to</w:t>
      </w:r>
      <w:r w:rsidR="0026245E">
        <w:rPr>
          <w:rFonts w:ascii="Arial" w:eastAsia="Calibri" w:hAnsi="Arial" w:cs="Arial"/>
          <w:color w:val="000000"/>
          <w:sz w:val="22"/>
          <w:szCs w:val="22"/>
        </w:rPr>
        <w:t xml:space="preserve"> the late 18</w:t>
      </w:r>
      <w:r w:rsidR="0026245E" w:rsidRPr="0026245E">
        <w:rPr>
          <w:rFonts w:ascii="Arial" w:eastAsia="Calibri" w:hAnsi="Arial" w:cs="Arial"/>
          <w:color w:val="000000"/>
          <w:sz w:val="22"/>
          <w:szCs w:val="22"/>
          <w:vertAlign w:val="superscript"/>
        </w:rPr>
        <w:t>th</w:t>
      </w:r>
      <w:r w:rsidR="0026245E">
        <w:rPr>
          <w:rFonts w:ascii="Arial" w:eastAsia="Calibri" w:hAnsi="Arial" w:cs="Arial"/>
          <w:color w:val="000000"/>
          <w:sz w:val="22"/>
          <w:szCs w:val="22"/>
        </w:rPr>
        <w:t xml:space="preserve"> century. </w:t>
      </w:r>
    </w:p>
    <w:p w:rsidR="0026245E" w:rsidRDefault="0026245E" w:rsidP="00C22AE3">
      <w:pPr>
        <w:spacing w:before="240" w:line="276" w:lineRule="auto"/>
        <w:jc w:val="both"/>
        <w:rPr>
          <w:rFonts w:ascii="Arial" w:eastAsia="Calibri" w:hAnsi="Arial" w:cs="Arial"/>
          <w:color w:val="000000"/>
          <w:sz w:val="22"/>
          <w:szCs w:val="22"/>
        </w:rPr>
      </w:pPr>
      <w:r>
        <w:rPr>
          <w:rFonts w:ascii="Arial" w:eastAsia="Calibri" w:hAnsi="Arial" w:cs="Arial"/>
          <w:color w:val="000000"/>
          <w:sz w:val="22"/>
          <w:szCs w:val="22"/>
        </w:rPr>
        <w:t>The walled garden is depicted in a detailed manner on the 1860 Map of Part of the Rug Demesne (Figure 05). There are 3 summerhouses at the corners of the garden, one of which survives into the present day as</w:t>
      </w:r>
      <w:r w:rsidR="00C00789">
        <w:rPr>
          <w:rFonts w:ascii="Arial" w:eastAsia="Calibri" w:hAnsi="Arial" w:cs="Arial"/>
          <w:color w:val="000000"/>
          <w:sz w:val="22"/>
          <w:szCs w:val="22"/>
        </w:rPr>
        <w:t xml:space="preserve"> a</w:t>
      </w:r>
      <w:r>
        <w:rPr>
          <w:rFonts w:ascii="Arial" w:eastAsia="Calibri" w:hAnsi="Arial" w:cs="Arial"/>
          <w:color w:val="000000"/>
          <w:sz w:val="22"/>
          <w:szCs w:val="22"/>
        </w:rPr>
        <w:t xml:space="preserve"> square in plan brick building in the south west corner</w:t>
      </w:r>
      <w:r w:rsidR="00C00789">
        <w:rPr>
          <w:rFonts w:ascii="Arial" w:eastAsia="Calibri" w:hAnsi="Arial" w:cs="Arial"/>
          <w:color w:val="000000"/>
          <w:sz w:val="22"/>
          <w:szCs w:val="22"/>
        </w:rPr>
        <w:t>. There are also entrances within the eastern and western walls the former corresponds with the arch described in section 4.1</w:t>
      </w:r>
      <w:r>
        <w:rPr>
          <w:rFonts w:ascii="Arial" w:eastAsia="Calibri" w:hAnsi="Arial" w:cs="Arial"/>
          <w:color w:val="000000"/>
          <w:sz w:val="22"/>
          <w:szCs w:val="22"/>
        </w:rPr>
        <w:t>. The interior of the walled garden has been divided into a grid pattern by 1860.</w:t>
      </w:r>
      <w:r w:rsidR="00C00789">
        <w:rPr>
          <w:rFonts w:ascii="Arial" w:eastAsia="Calibri" w:hAnsi="Arial" w:cs="Arial"/>
          <w:color w:val="000000"/>
          <w:sz w:val="22"/>
          <w:szCs w:val="22"/>
        </w:rPr>
        <w:t xml:space="preserve"> </w:t>
      </w:r>
    </w:p>
    <w:p w:rsidR="00C00789" w:rsidRDefault="00C00789" w:rsidP="00C22AE3">
      <w:pPr>
        <w:spacing w:before="240" w:line="276" w:lineRule="auto"/>
        <w:jc w:val="both"/>
        <w:rPr>
          <w:rFonts w:ascii="Arial" w:eastAsia="Calibri" w:hAnsi="Arial" w:cs="Arial"/>
          <w:color w:val="000000"/>
          <w:sz w:val="22"/>
          <w:szCs w:val="22"/>
        </w:rPr>
      </w:pPr>
      <w:r>
        <w:rPr>
          <w:rFonts w:ascii="Arial" w:eastAsia="Calibri" w:hAnsi="Arial" w:cs="Arial"/>
          <w:color w:val="000000"/>
          <w:sz w:val="22"/>
          <w:szCs w:val="22"/>
        </w:rPr>
        <w:t>By the time of the First Edition 25” County Series Ordnance Survey of 1875 the range of farm outbuildings to the west of the walled garden have increased in number and the western wall of the garden has apparently been demolished to make way for the new buildings (Figure 06). The interior of the garden has changed</w:t>
      </w:r>
      <w:r w:rsidR="00EE57C7">
        <w:rPr>
          <w:rFonts w:ascii="Arial" w:eastAsia="Calibri" w:hAnsi="Arial" w:cs="Arial"/>
          <w:color w:val="000000"/>
          <w:sz w:val="22"/>
          <w:szCs w:val="22"/>
        </w:rPr>
        <w:t xml:space="preserve"> from a grid pattern to</w:t>
      </w:r>
      <w:r>
        <w:rPr>
          <w:rFonts w:ascii="Arial" w:eastAsia="Calibri" w:hAnsi="Arial" w:cs="Arial"/>
          <w:color w:val="000000"/>
          <w:sz w:val="22"/>
          <w:szCs w:val="22"/>
        </w:rPr>
        <w:t xml:space="preserve"> a cruciform </w:t>
      </w:r>
      <w:r w:rsidR="00EE57C7">
        <w:rPr>
          <w:rFonts w:ascii="Arial" w:eastAsia="Calibri" w:hAnsi="Arial" w:cs="Arial"/>
          <w:color w:val="000000"/>
          <w:sz w:val="22"/>
          <w:szCs w:val="22"/>
        </w:rPr>
        <w:t>pattern</w:t>
      </w:r>
      <w:r w:rsidR="00FB6295">
        <w:rPr>
          <w:rFonts w:ascii="Arial" w:eastAsia="Calibri" w:hAnsi="Arial" w:cs="Arial"/>
          <w:color w:val="000000"/>
          <w:sz w:val="22"/>
          <w:szCs w:val="22"/>
        </w:rPr>
        <w:t xml:space="preserve"> along</w:t>
      </w:r>
      <w:r>
        <w:rPr>
          <w:rFonts w:ascii="Arial" w:eastAsia="Calibri" w:hAnsi="Arial" w:cs="Arial"/>
          <w:color w:val="000000"/>
          <w:sz w:val="22"/>
          <w:szCs w:val="22"/>
        </w:rPr>
        <w:t xml:space="preserve"> with paths parallel with the </w:t>
      </w:r>
      <w:r w:rsidR="00EE57C7">
        <w:rPr>
          <w:rFonts w:ascii="Arial" w:eastAsia="Calibri" w:hAnsi="Arial" w:cs="Arial"/>
          <w:color w:val="000000"/>
          <w:sz w:val="22"/>
          <w:szCs w:val="22"/>
        </w:rPr>
        <w:t>boundaries of the garden wall. This layout corresponds with the position and location of contexts [003] and [004], which would imply that these paths or at le</w:t>
      </w:r>
      <w:r w:rsidR="001D599A">
        <w:rPr>
          <w:rFonts w:ascii="Arial" w:eastAsia="Calibri" w:hAnsi="Arial" w:cs="Arial"/>
          <w:color w:val="000000"/>
          <w:sz w:val="22"/>
          <w:szCs w:val="22"/>
        </w:rPr>
        <w:t>ast their layout</w:t>
      </w:r>
      <w:r w:rsidR="00EE57C7">
        <w:rPr>
          <w:rFonts w:ascii="Arial" w:eastAsia="Calibri" w:hAnsi="Arial" w:cs="Arial"/>
          <w:color w:val="000000"/>
          <w:sz w:val="22"/>
          <w:szCs w:val="22"/>
        </w:rPr>
        <w:t xml:space="preserve"> dates from the late 19</w:t>
      </w:r>
      <w:r w:rsidR="00EE57C7" w:rsidRPr="00EE57C7">
        <w:rPr>
          <w:rFonts w:ascii="Arial" w:eastAsia="Calibri" w:hAnsi="Arial" w:cs="Arial"/>
          <w:color w:val="000000"/>
          <w:sz w:val="22"/>
          <w:szCs w:val="22"/>
          <w:vertAlign w:val="superscript"/>
        </w:rPr>
        <w:t>th</w:t>
      </w:r>
      <w:r w:rsidR="00EE57C7">
        <w:rPr>
          <w:rFonts w:ascii="Arial" w:eastAsia="Calibri" w:hAnsi="Arial" w:cs="Arial"/>
          <w:color w:val="000000"/>
          <w:sz w:val="22"/>
          <w:szCs w:val="22"/>
        </w:rPr>
        <w:t xml:space="preserve"> century. </w:t>
      </w:r>
    </w:p>
    <w:p w:rsidR="00B800F2" w:rsidRPr="00C13054" w:rsidRDefault="00B800F2" w:rsidP="00B800F2">
      <w:pPr>
        <w:pStyle w:val="Heading1"/>
        <w:spacing w:before="0" w:after="0"/>
        <w:rPr>
          <w:i/>
        </w:rPr>
      </w:pPr>
      <w:r>
        <w:rPr>
          <w:rFonts w:eastAsia="Calibri"/>
          <w:color w:val="000000"/>
          <w:sz w:val="22"/>
          <w:szCs w:val="22"/>
        </w:rPr>
        <w:br w:type="page"/>
      </w:r>
      <w:bookmarkStart w:id="14" w:name="_Toc432067342"/>
      <w:r>
        <w:lastRenderedPageBreak/>
        <w:t>6</w:t>
      </w:r>
      <w:r w:rsidRPr="00C13054">
        <w:t xml:space="preserve">. </w:t>
      </w:r>
      <w:r>
        <w:t>CONCLUSION</w:t>
      </w:r>
      <w:bookmarkEnd w:id="14"/>
      <w:r>
        <w:t xml:space="preserve"> </w:t>
      </w:r>
    </w:p>
    <w:p w:rsidR="00B800F2" w:rsidRDefault="00B800F2" w:rsidP="00B800F2">
      <w:pPr>
        <w:spacing w:before="240" w:line="276" w:lineRule="auto"/>
        <w:jc w:val="both"/>
        <w:rPr>
          <w:rFonts w:ascii="Arial" w:hAnsi="Arial" w:cs="Arial"/>
          <w:sz w:val="22"/>
          <w:szCs w:val="22"/>
        </w:rPr>
      </w:pPr>
      <w:r w:rsidRPr="007D1F7F">
        <w:rPr>
          <w:rFonts w:ascii="Arial" w:hAnsi="Arial" w:cs="Arial"/>
          <w:sz w:val="22"/>
          <w:szCs w:val="22"/>
        </w:rPr>
        <w:t>Gwynedd Archaeological Trust (GAT) was asked by Cadnant Planning, on behalf of the Rhug Estate, to conduct an archaeological watching brief of ground works associated with the construction of a tennis court within the western half of the former walled garden at Rhug</w:t>
      </w:r>
      <w:r>
        <w:rPr>
          <w:rFonts w:ascii="Arial" w:hAnsi="Arial" w:cs="Arial"/>
          <w:sz w:val="22"/>
          <w:szCs w:val="22"/>
        </w:rPr>
        <w:t>.</w:t>
      </w:r>
    </w:p>
    <w:p w:rsidR="00B800F2" w:rsidRDefault="00B800F2" w:rsidP="00B800F2">
      <w:pPr>
        <w:spacing w:before="240" w:line="276" w:lineRule="auto"/>
        <w:jc w:val="both"/>
        <w:rPr>
          <w:rFonts w:ascii="Arial" w:eastAsia="Calibri" w:hAnsi="Arial" w:cs="Arial"/>
          <w:color w:val="000000"/>
          <w:sz w:val="22"/>
          <w:szCs w:val="22"/>
        </w:rPr>
      </w:pPr>
      <w:r>
        <w:rPr>
          <w:rFonts w:ascii="Arial" w:eastAsia="Calibri" w:hAnsi="Arial" w:cs="Arial"/>
          <w:color w:val="000000"/>
          <w:sz w:val="22"/>
          <w:szCs w:val="22"/>
        </w:rPr>
        <w:t>The archaeological watching brief of the ground works uncovered the remains of two garden paths, contexts [003] and [004]. While no artefactual evidence was retrieved from the paths, given their position within the garden and</w:t>
      </w:r>
      <w:r w:rsidR="001E495D">
        <w:rPr>
          <w:rFonts w:ascii="Arial" w:eastAsia="Calibri" w:hAnsi="Arial" w:cs="Arial"/>
          <w:color w:val="000000"/>
          <w:sz w:val="22"/>
          <w:szCs w:val="22"/>
        </w:rPr>
        <w:t xml:space="preserve"> an</w:t>
      </w:r>
      <w:r>
        <w:rPr>
          <w:rFonts w:ascii="Arial" w:eastAsia="Calibri" w:hAnsi="Arial" w:cs="Arial"/>
          <w:color w:val="000000"/>
          <w:sz w:val="22"/>
          <w:szCs w:val="22"/>
        </w:rPr>
        <w:t xml:space="preserve"> examination of</w:t>
      </w:r>
      <w:r w:rsidR="00CE6824">
        <w:rPr>
          <w:rFonts w:ascii="Arial" w:eastAsia="Calibri" w:hAnsi="Arial" w:cs="Arial"/>
          <w:color w:val="000000"/>
          <w:sz w:val="22"/>
          <w:szCs w:val="22"/>
        </w:rPr>
        <w:t xml:space="preserve"> a selection of historic estate maps and the First Edition 25” County Series Ordnance Survey</w:t>
      </w:r>
      <w:r w:rsidR="001E495D">
        <w:rPr>
          <w:rFonts w:ascii="Arial" w:eastAsia="Calibri" w:hAnsi="Arial" w:cs="Arial"/>
          <w:color w:val="000000"/>
          <w:sz w:val="22"/>
          <w:szCs w:val="22"/>
        </w:rPr>
        <w:t xml:space="preserve"> Map</w:t>
      </w:r>
      <w:r>
        <w:rPr>
          <w:rFonts w:ascii="Arial" w:eastAsia="Calibri" w:hAnsi="Arial" w:cs="Arial"/>
          <w:color w:val="000000"/>
          <w:sz w:val="22"/>
          <w:szCs w:val="22"/>
        </w:rPr>
        <w:t>, the</w:t>
      </w:r>
      <w:r w:rsidR="001E495D">
        <w:rPr>
          <w:rFonts w:ascii="Arial" w:eastAsia="Calibri" w:hAnsi="Arial" w:cs="Arial"/>
          <w:color w:val="000000"/>
          <w:sz w:val="22"/>
          <w:szCs w:val="22"/>
        </w:rPr>
        <w:t>se</w:t>
      </w:r>
      <w:r>
        <w:rPr>
          <w:rFonts w:ascii="Arial" w:eastAsia="Calibri" w:hAnsi="Arial" w:cs="Arial"/>
          <w:color w:val="000000"/>
          <w:sz w:val="22"/>
          <w:szCs w:val="22"/>
        </w:rPr>
        <w:t xml:space="preserve"> paths are contemporary with the use of this part of the Rhug Estate as a walled garden</w:t>
      </w:r>
      <w:r w:rsidR="00CE6824">
        <w:rPr>
          <w:rFonts w:ascii="Arial" w:eastAsia="Calibri" w:hAnsi="Arial" w:cs="Arial"/>
          <w:color w:val="000000"/>
          <w:sz w:val="22"/>
          <w:szCs w:val="22"/>
        </w:rPr>
        <w:t xml:space="preserve">. </w:t>
      </w:r>
      <w:r w:rsidR="001E495D">
        <w:rPr>
          <w:rFonts w:ascii="Arial" w:eastAsia="Calibri" w:hAnsi="Arial" w:cs="Arial"/>
          <w:color w:val="000000"/>
          <w:sz w:val="22"/>
          <w:szCs w:val="22"/>
        </w:rPr>
        <w:t>The paths, contexts [003] and [004] or at least their layout, date from the late 19</w:t>
      </w:r>
      <w:r w:rsidR="001E495D" w:rsidRPr="001E495D">
        <w:rPr>
          <w:rFonts w:ascii="Arial" w:eastAsia="Calibri" w:hAnsi="Arial" w:cs="Arial"/>
          <w:color w:val="000000"/>
          <w:sz w:val="22"/>
          <w:szCs w:val="22"/>
          <w:vertAlign w:val="superscript"/>
        </w:rPr>
        <w:t>th</w:t>
      </w:r>
      <w:r w:rsidR="001E495D">
        <w:rPr>
          <w:rFonts w:ascii="Arial" w:eastAsia="Calibri" w:hAnsi="Arial" w:cs="Arial"/>
          <w:color w:val="000000"/>
          <w:sz w:val="22"/>
          <w:szCs w:val="22"/>
        </w:rPr>
        <w:t xml:space="preserve"> century, as they clearly match the routes of the paths depicted on the 1875 First Edition 25” County Series Ordnance Survey Map.</w:t>
      </w:r>
      <w:r>
        <w:rPr>
          <w:rFonts w:ascii="Arial" w:eastAsia="Calibri" w:hAnsi="Arial" w:cs="Arial"/>
          <w:color w:val="000000"/>
          <w:sz w:val="22"/>
          <w:szCs w:val="22"/>
        </w:rPr>
        <w:t xml:space="preserve"> Aside from the paths and bedding associated with context [004], no further archaeological deposits were found during the course of the watching brief. </w:t>
      </w:r>
    </w:p>
    <w:p w:rsidR="001E495D" w:rsidRDefault="001E495D" w:rsidP="00B800F2">
      <w:pPr>
        <w:spacing w:before="240" w:line="276" w:lineRule="auto"/>
        <w:jc w:val="both"/>
        <w:rPr>
          <w:rFonts w:ascii="Arial" w:eastAsia="Calibri" w:hAnsi="Arial" w:cs="Arial"/>
          <w:color w:val="000000"/>
          <w:sz w:val="22"/>
          <w:szCs w:val="22"/>
        </w:rPr>
      </w:pPr>
      <w:r>
        <w:rPr>
          <w:rFonts w:ascii="Arial" w:eastAsia="Calibri" w:hAnsi="Arial" w:cs="Arial"/>
          <w:color w:val="000000"/>
          <w:sz w:val="22"/>
          <w:szCs w:val="22"/>
        </w:rPr>
        <w:t>The research conducted on the grounds of this part of the Rhug Estate revealed that the walled garden pre-dates the construction of the present house</w:t>
      </w:r>
      <w:r w:rsidR="0071044B">
        <w:rPr>
          <w:rFonts w:ascii="Arial" w:eastAsia="Calibri" w:hAnsi="Arial" w:cs="Arial"/>
          <w:color w:val="000000"/>
          <w:sz w:val="22"/>
          <w:szCs w:val="22"/>
        </w:rPr>
        <w:t xml:space="preserve">, as it is present </w:t>
      </w:r>
      <w:r w:rsidR="002C74DA">
        <w:rPr>
          <w:rFonts w:ascii="Arial" w:eastAsia="Calibri" w:hAnsi="Arial" w:cs="Arial"/>
          <w:color w:val="000000"/>
          <w:sz w:val="22"/>
          <w:szCs w:val="22"/>
        </w:rPr>
        <w:t>on the estate map dated to</w:t>
      </w:r>
      <w:r w:rsidR="0071044B">
        <w:rPr>
          <w:rFonts w:ascii="Arial" w:eastAsia="Calibri" w:hAnsi="Arial" w:cs="Arial"/>
          <w:color w:val="000000"/>
          <w:sz w:val="22"/>
          <w:szCs w:val="22"/>
        </w:rPr>
        <w:t xml:space="preserve"> 1791. This evidence along with the assertion of Haslam R., </w:t>
      </w:r>
      <w:proofErr w:type="spellStart"/>
      <w:r w:rsidR="0071044B">
        <w:rPr>
          <w:rFonts w:ascii="Arial" w:eastAsia="Calibri" w:hAnsi="Arial" w:cs="Arial"/>
          <w:color w:val="000000"/>
          <w:sz w:val="22"/>
          <w:szCs w:val="22"/>
        </w:rPr>
        <w:t>Orbach</w:t>
      </w:r>
      <w:proofErr w:type="spellEnd"/>
      <w:r w:rsidR="0071044B">
        <w:rPr>
          <w:rFonts w:ascii="Arial" w:eastAsia="Calibri" w:hAnsi="Arial" w:cs="Arial"/>
          <w:color w:val="000000"/>
          <w:sz w:val="22"/>
          <w:szCs w:val="22"/>
        </w:rPr>
        <w:t xml:space="preserve"> J., </w:t>
      </w:r>
      <w:proofErr w:type="spellStart"/>
      <w:r w:rsidR="0071044B">
        <w:rPr>
          <w:rFonts w:ascii="Arial" w:eastAsia="Calibri" w:hAnsi="Arial" w:cs="Arial"/>
          <w:color w:val="000000"/>
          <w:sz w:val="22"/>
          <w:szCs w:val="22"/>
        </w:rPr>
        <w:t>Voelcker</w:t>
      </w:r>
      <w:proofErr w:type="spellEnd"/>
      <w:r w:rsidR="0071044B">
        <w:rPr>
          <w:rFonts w:ascii="Arial" w:eastAsia="Calibri" w:hAnsi="Arial" w:cs="Arial"/>
          <w:color w:val="000000"/>
          <w:sz w:val="22"/>
          <w:szCs w:val="22"/>
        </w:rPr>
        <w:t xml:space="preserve"> A., that the </w:t>
      </w:r>
      <w:r w:rsidR="002C74DA">
        <w:rPr>
          <w:rFonts w:ascii="Arial" w:eastAsia="Calibri" w:hAnsi="Arial" w:cs="Arial"/>
          <w:color w:val="000000"/>
          <w:sz w:val="22"/>
          <w:szCs w:val="22"/>
        </w:rPr>
        <w:t>walled garden may have been created after 1780, would suggest that it came into being at same stage between 1780 and 1791. The walled garden may well have been part of the re-development of the Rhug Estate in the late 18</w:t>
      </w:r>
      <w:r w:rsidR="002C74DA" w:rsidRPr="002C74DA">
        <w:rPr>
          <w:rFonts w:ascii="Arial" w:eastAsia="Calibri" w:hAnsi="Arial" w:cs="Arial"/>
          <w:color w:val="000000"/>
          <w:sz w:val="22"/>
          <w:szCs w:val="22"/>
          <w:vertAlign w:val="superscript"/>
        </w:rPr>
        <w:t>th</w:t>
      </w:r>
      <w:r w:rsidR="002C74DA">
        <w:rPr>
          <w:rFonts w:ascii="Arial" w:eastAsia="Calibri" w:hAnsi="Arial" w:cs="Arial"/>
          <w:color w:val="000000"/>
          <w:sz w:val="22"/>
          <w:szCs w:val="22"/>
        </w:rPr>
        <w:t xml:space="preserve"> and early 19</w:t>
      </w:r>
      <w:r w:rsidR="002C74DA" w:rsidRPr="002C74DA">
        <w:rPr>
          <w:rFonts w:ascii="Arial" w:eastAsia="Calibri" w:hAnsi="Arial" w:cs="Arial"/>
          <w:color w:val="000000"/>
          <w:sz w:val="22"/>
          <w:szCs w:val="22"/>
          <w:vertAlign w:val="superscript"/>
        </w:rPr>
        <w:t>th</w:t>
      </w:r>
      <w:r w:rsidR="002C74DA">
        <w:rPr>
          <w:rFonts w:ascii="Arial" w:eastAsia="Calibri" w:hAnsi="Arial" w:cs="Arial"/>
          <w:color w:val="000000"/>
          <w:sz w:val="22"/>
          <w:szCs w:val="22"/>
        </w:rPr>
        <w:t xml:space="preserve"> century, which included the replacement of the 16</w:t>
      </w:r>
      <w:r w:rsidR="002C74DA" w:rsidRPr="002C74DA">
        <w:rPr>
          <w:rFonts w:ascii="Arial" w:eastAsia="Calibri" w:hAnsi="Arial" w:cs="Arial"/>
          <w:color w:val="000000"/>
          <w:sz w:val="22"/>
          <w:szCs w:val="22"/>
          <w:vertAlign w:val="superscript"/>
        </w:rPr>
        <w:t>th</w:t>
      </w:r>
      <w:r w:rsidR="002C74DA">
        <w:rPr>
          <w:rFonts w:ascii="Arial" w:eastAsia="Calibri" w:hAnsi="Arial" w:cs="Arial"/>
          <w:color w:val="000000"/>
          <w:sz w:val="22"/>
          <w:szCs w:val="22"/>
        </w:rPr>
        <w:t xml:space="preserve"> century house (visible on the 1791 estate map) by the present </w:t>
      </w:r>
      <w:proofErr w:type="gramStart"/>
      <w:r w:rsidR="002C74DA">
        <w:rPr>
          <w:rFonts w:ascii="Arial" w:eastAsia="Calibri" w:hAnsi="Arial" w:cs="Arial"/>
          <w:color w:val="000000"/>
          <w:sz w:val="22"/>
          <w:szCs w:val="22"/>
        </w:rPr>
        <w:t>Neoclassical</w:t>
      </w:r>
      <w:proofErr w:type="gramEnd"/>
      <w:r w:rsidR="002C74DA">
        <w:rPr>
          <w:rFonts w:ascii="Arial" w:eastAsia="Calibri" w:hAnsi="Arial" w:cs="Arial"/>
          <w:color w:val="000000"/>
          <w:sz w:val="22"/>
          <w:szCs w:val="22"/>
        </w:rPr>
        <w:t xml:space="preserve"> mansion and extension of the fish pond. On this basis the walled garden forms an important development of the managed landscape of the Rhug Estate in the late 18</w:t>
      </w:r>
      <w:r w:rsidR="002C74DA" w:rsidRPr="002C74DA">
        <w:rPr>
          <w:rFonts w:ascii="Arial" w:eastAsia="Calibri" w:hAnsi="Arial" w:cs="Arial"/>
          <w:color w:val="000000"/>
          <w:sz w:val="22"/>
          <w:szCs w:val="22"/>
          <w:vertAlign w:val="superscript"/>
        </w:rPr>
        <w:t>th</w:t>
      </w:r>
      <w:r w:rsidR="002C74DA">
        <w:rPr>
          <w:rFonts w:ascii="Arial" w:eastAsia="Calibri" w:hAnsi="Arial" w:cs="Arial"/>
          <w:color w:val="000000"/>
          <w:sz w:val="22"/>
          <w:szCs w:val="22"/>
        </w:rPr>
        <w:t xml:space="preserve"> and early 19</w:t>
      </w:r>
      <w:r w:rsidR="002C74DA" w:rsidRPr="002C74DA">
        <w:rPr>
          <w:rFonts w:ascii="Arial" w:eastAsia="Calibri" w:hAnsi="Arial" w:cs="Arial"/>
          <w:color w:val="000000"/>
          <w:sz w:val="22"/>
          <w:szCs w:val="22"/>
          <w:vertAlign w:val="superscript"/>
        </w:rPr>
        <w:t>th</w:t>
      </w:r>
      <w:r w:rsidR="002C74DA">
        <w:rPr>
          <w:rFonts w:ascii="Arial" w:eastAsia="Calibri" w:hAnsi="Arial" w:cs="Arial"/>
          <w:color w:val="000000"/>
          <w:sz w:val="22"/>
          <w:szCs w:val="22"/>
        </w:rPr>
        <w:t xml:space="preserve"> century. </w:t>
      </w:r>
    </w:p>
    <w:p w:rsidR="00B800F2" w:rsidRPr="007D31B6" w:rsidRDefault="00BA7336" w:rsidP="00C22AE3">
      <w:pPr>
        <w:spacing w:before="240" w:line="276" w:lineRule="auto"/>
        <w:jc w:val="both"/>
        <w:rPr>
          <w:rFonts w:ascii="Arial" w:hAnsi="Arial" w:cs="Arial"/>
          <w:sz w:val="22"/>
          <w:szCs w:val="22"/>
        </w:rPr>
      </w:pPr>
      <w:r>
        <w:rPr>
          <w:rFonts w:ascii="Arial" w:hAnsi="Arial" w:cs="Arial"/>
          <w:sz w:val="22"/>
          <w:szCs w:val="22"/>
        </w:rPr>
        <w:t xml:space="preserve">The archaeological watching brief of </w:t>
      </w:r>
      <w:r w:rsidRPr="007D1F7F">
        <w:rPr>
          <w:rFonts w:ascii="Arial" w:hAnsi="Arial" w:cs="Arial"/>
          <w:sz w:val="22"/>
          <w:szCs w:val="22"/>
        </w:rPr>
        <w:t>ground works associated with the construction of a tennis court</w:t>
      </w:r>
      <w:r>
        <w:rPr>
          <w:rFonts w:ascii="Arial" w:hAnsi="Arial" w:cs="Arial"/>
          <w:sz w:val="22"/>
          <w:szCs w:val="22"/>
        </w:rPr>
        <w:t xml:space="preserve">, revealed limited evidence of the internal use of the area as a walled garden in the form of garden paths. As the majority of the interior of the tennis court was not reduced to the surface of the natural clay, there is still the potential of uncovering further archaeology in association with the walled garden. The watching brief also highlights that there may be further surviving elements of the interior of the walled garden which may be uncovered if there are additional development within the boundary of the garden. </w:t>
      </w:r>
    </w:p>
    <w:p w:rsidR="00043295" w:rsidRPr="00450852" w:rsidRDefault="00B57953" w:rsidP="004F744F">
      <w:pPr>
        <w:pStyle w:val="Heading1"/>
      </w:pPr>
      <w:r w:rsidRPr="00C13054">
        <w:br w:type="page"/>
      </w:r>
      <w:bookmarkStart w:id="15" w:name="_Toc432067343"/>
      <w:r w:rsidR="00B800F2">
        <w:lastRenderedPageBreak/>
        <w:t>7</w:t>
      </w:r>
      <w:r w:rsidR="00043295" w:rsidRPr="00C13054">
        <w:t xml:space="preserve">. </w:t>
      </w:r>
      <w:r w:rsidR="00450852" w:rsidRPr="00450852">
        <w:t>SOURCES CONSULTED</w:t>
      </w:r>
      <w:bookmarkEnd w:id="15"/>
    </w:p>
    <w:p w:rsidR="009A1AAC" w:rsidRDefault="009A1AAC" w:rsidP="00B33461">
      <w:pPr>
        <w:autoSpaceDE w:val="0"/>
        <w:autoSpaceDN w:val="0"/>
        <w:adjustRightInd w:val="0"/>
        <w:spacing w:before="240" w:line="276" w:lineRule="auto"/>
        <w:rPr>
          <w:rFonts w:ascii="Arial" w:hAnsi="Arial" w:cs="Arial"/>
          <w:sz w:val="22"/>
          <w:szCs w:val="22"/>
        </w:rPr>
      </w:pPr>
      <w:bookmarkStart w:id="16" w:name="_APPENDIX_I"/>
      <w:bookmarkStart w:id="17" w:name="_GoBack"/>
      <w:bookmarkEnd w:id="16"/>
      <w:bookmarkEnd w:id="17"/>
      <w:proofErr w:type="gramStart"/>
      <w:r>
        <w:rPr>
          <w:rFonts w:ascii="Arial" w:eastAsia="Calibri" w:hAnsi="Arial" w:cs="Arial"/>
          <w:color w:val="000000"/>
          <w:sz w:val="22"/>
          <w:szCs w:val="22"/>
        </w:rPr>
        <w:t>Chartered Institute for Archaeologists.</w:t>
      </w:r>
      <w:proofErr w:type="gramEnd"/>
      <w:r>
        <w:rPr>
          <w:rFonts w:ascii="Arial" w:eastAsia="Calibri" w:hAnsi="Arial" w:cs="Arial"/>
          <w:color w:val="000000"/>
          <w:sz w:val="22"/>
          <w:szCs w:val="22"/>
        </w:rPr>
        <w:t xml:space="preserve"> 1994, </w:t>
      </w:r>
      <w:r w:rsidRPr="009A1AAC">
        <w:rPr>
          <w:rFonts w:ascii="Arial" w:hAnsi="Arial" w:cs="Arial"/>
          <w:i/>
          <w:sz w:val="22"/>
          <w:szCs w:val="22"/>
        </w:rPr>
        <w:t xml:space="preserve">Standard and Guidance for Archaeological Watching Brief </w:t>
      </w:r>
      <w:r>
        <w:rPr>
          <w:rFonts w:ascii="Arial" w:hAnsi="Arial" w:cs="Arial"/>
          <w:sz w:val="22"/>
          <w:szCs w:val="22"/>
        </w:rPr>
        <w:t>(revised 2014);</w:t>
      </w:r>
    </w:p>
    <w:p w:rsidR="00B33461" w:rsidRDefault="00B33461" w:rsidP="00B33461">
      <w:pPr>
        <w:autoSpaceDE w:val="0"/>
        <w:autoSpaceDN w:val="0"/>
        <w:adjustRightInd w:val="0"/>
        <w:spacing w:before="240" w:line="276" w:lineRule="auto"/>
        <w:rPr>
          <w:rFonts w:ascii="Arial" w:hAnsi="Arial" w:cs="Arial"/>
          <w:sz w:val="22"/>
          <w:szCs w:val="22"/>
        </w:rPr>
      </w:pPr>
      <w:r>
        <w:rPr>
          <w:rFonts w:ascii="Arial" w:eastAsia="Calibri" w:hAnsi="Arial" w:cs="Arial"/>
          <w:color w:val="000000"/>
          <w:sz w:val="22"/>
          <w:szCs w:val="22"/>
        </w:rPr>
        <w:t>First Edition 25” County Series Ordnance Survey Map. 1875;</w:t>
      </w:r>
    </w:p>
    <w:p w:rsidR="00B33461" w:rsidRDefault="00B33461" w:rsidP="00B33461">
      <w:pPr>
        <w:autoSpaceDE w:val="0"/>
        <w:autoSpaceDN w:val="0"/>
        <w:adjustRightInd w:val="0"/>
        <w:spacing w:before="240" w:line="276" w:lineRule="auto"/>
        <w:rPr>
          <w:rFonts w:ascii="Arial" w:hAnsi="Arial" w:cs="Arial"/>
          <w:i/>
          <w:sz w:val="22"/>
          <w:szCs w:val="22"/>
        </w:rPr>
      </w:pPr>
      <w:r>
        <w:rPr>
          <w:rFonts w:ascii="Arial" w:hAnsi="Arial" w:cs="Arial"/>
          <w:sz w:val="22"/>
          <w:szCs w:val="22"/>
        </w:rPr>
        <w:t xml:space="preserve">Haslam, R., </w:t>
      </w:r>
      <w:proofErr w:type="spellStart"/>
      <w:r>
        <w:rPr>
          <w:rFonts w:ascii="Arial" w:hAnsi="Arial" w:cs="Arial"/>
          <w:sz w:val="22"/>
          <w:szCs w:val="22"/>
        </w:rPr>
        <w:t>Orbach</w:t>
      </w:r>
      <w:proofErr w:type="spellEnd"/>
      <w:r>
        <w:rPr>
          <w:rFonts w:ascii="Arial" w:hAnsi="Arial" w:cs="Arial"/>
          <w:sz w:val="22"/>
          <w:szCs w:val="22"/>
        </w:rPr>
        <w:t xml:space="preserve">, J. and </w:t>
      </w:r>
      <w:proofErr w:type="spellStart"/>
      <w:r>
        <w:rPr>
          <w:rFonts w:ascii="Arial" w:hAnsi="Arial" w:cs="Arial"/>
          <w:sz w:val="22"/>
          <w:szCs w:val="22"/>
        </w:rPr>
        <w:t>Voelcker</w:t>
      </w:r>
      <w:proofErr w:type="spellEnd"/>
      <w:r>
        <w:rPr>
          <w:rFonts w:ascii="Arial" w:hAnsi="Arial" w:cs="Arial"/>
          <w:sz w:val="22"/>
          <w:szCs w:val="22"/>
        </w:rPr>
        <w:t xml:space="preserve">, A. 2009, </w:t>
      </w:r>
      <w:proofErr w:type="gramStart"/>
      <w:r>
        <w:rPr>
          <w:rFonts w:ascii="Arial" w:hAnsi="Arial" w:cs="Arial"/>
          <w:i/>
          <w:sz w:val="22"/>
          <w:szCs w:val="22"/>
        </w:rPr>
        <w:t>The</w:t>
      </w:r>
      <w:proofErr w:type="gramEnd"/>
      <w:r>
        <w:rPr>
          <w:rFonts w:ascii="Arial" w:hAnsi="Arial" w:cs="Arial"/>
          <w:i/>
          <w:sz w:val="22"/>
          <w:szCs w:val="22"/>
        </w:rPr>
        <w:t xml:space="preserve"> Buildings of Wales, Gwynedd;</w:t>
      </w:r>
    </w:p>
    <w:p w:rsidR="00B33461" w:rsidRDefault="00B33461" w:rsidP="00B33461">
      <w:pPr>
        <w:autoSpaceDE w:val="0"/>
        <w:autoSpaceDN w:val="0"/>
        <w:adjustRightInd w:val="0"/>
        <w:spacing w:before="240" w:line="276" w:lineRule="auto"/>
        <w:rPr>
          <w:rFonts w:ascii="Arial" w:hAnsi="Arial" w:cs="Arial"/>
          <w:sz w:val="22"/>
          <w:szCs w:val="22"/>
        </w:rPr>
      </w:pPr>
      <w:r>
        <w:rPr>
          <w:rFonts w:ascii="Arial" w:hAnsi="Arial" w:cs="Arial"/>
          <w:sz w:val="22"/>
          <w:szCs w:val="22"/>
        </w:rPr>
        <w:t xml:space="preserve">Map of the Lordship of </w:t>
      </w:r>
      <w:proofErr w:type="spellStart"/>
      <w:r>
        <w:rPr>
          <w:rFonts w:ascii="Arial" w:hAnsi="Arial" w:cs="Arial"/>
          <w:sz w:val="22"/>
          <w:szCs w:val="22"/>
        </w:rPr>
        <w:t>Glyndyfrdwy</w:t>
      </w:r>
      <w:proofErr w:type="spellEnd"/>
      <w:r>
        <w:rPr>
          <w:rFonts w:ascii="Arial" w:hAnsi="Arial" w:cs="Arial"/>
          <w:sz w:val="22"/>
          <w:szCs w:val="22"/>
        </w:rPr>
        <w:t xml:space="preserve"> and Manor of Rug, belonging to Edward Williams Vaughan </w:t>
      </w:r>
      <w:proofErr w:type="spellStart"/>
      <w:r>
        <w:rPr>
          <w:rFonts w:ascii="Arial" w:hAnsi="Arial" w:cs="Arial"/>
          <w:sz w:val="22"/>
          <w:szCs w:val="22"/>
        </w:rPr>
        <w:t>Salesbury</w:t>
      </w:r>
      <w:proofErr w:type="spellEnd"/>
      <w:r>
        <w:rPr>
          <w:rFonts w:ascii="Arial" w:hAnsi="Arial" w:cs="Arial"/>
          <w:sz w:val="22"/>
          <w:szCs w:val="22"/>
        </w:rPr>
        <w:t>. 1791;</w:t>
      </w:r>
    </w:p>
    <w:p w:rsidR="00B33461" w:rsidRDefault="00B33461" w:rsidP="00B33461">
      <w:pPr>
        <w:autoSpaceDE w:val="0"/>
        <w:autoSpaceDN w:val="0"/>
        <w:adjustRightInd w:val="0"/>
        <w:spacing w:before="240" w:line="276" w:lineRule="auto"/>
        <w:rPr>
          <w:rFonts w:ascii="Arial" w:hAnsi="Arial" w:cs="Arial"/>
          <w:sz w:val="22"/>
          <w:szCs w:val="22"/>
        </w:rPr>
      </w:pPr>
      <w:r>
        <w:rPr>
          <w:rFonts w:ascii="Arial" w:hAnsi="Arial" w:cs="Arial"/>
          <w:sz w:val="22"/>
          <w:szCs w:val="22"/>
        </w:rPr>
        <w:t>Map of part of the Rug Demesne. 1860.</w:t>
      </w:r>
    </w:p>
    <w:p w:rsidR="00B33461" w:rsidRDefault="00B33461" w:rsidP="002170D2">
      <w:pPr>
        <w:autoSpaceDE w:val="0"/>
        <w:autoSpaceDN w:val="0"/>
        <w:adjustRightInd w:val="0"/>
        <w:spacing w:line="276" w:lineRule="auto"/>
        <w:rPr>
          <w:rFonts w:ascii="Arial" w:hAnsi="Arial" w:cs="Arial"/>
          <w:sz w:val="22"/>
          <w:szCs w:val="22"/>
        </w:rPr>
      </w:pPr>
    </w:p>
    <w:p w:rsidR="00722137" w:rsidRDefault="00EC313C" w:rsidP="00722137">
      <w:pPr>
        <w:pStyle w:val="TOC1"/>
        <w:tabs>
          <w:tab w:val="right" w:leader="dot" w:pos="9016"/>
        </w:tabs>
        <w:jc w:val="center"/>
      </w:pPr>
      <w:r>
        <w:br w:type="page"/>
      </w:r>
    </w:p>
    <w:p w:rsidR="00722137" w:rsidRPr="00C13054" w:rsidRDefault="00722137" w:rsidP="004F744F">
      <w:pPr>
        <w:pStyle w:val="Heading1"/>
      </w:pPr>
      <w:bookmarkStart w:id="18" w:name="_Toc432067344"/>
      <w:r w:rsidRPr="00C13054">
        <w:t>Appendix I</w:t>
      </w:r>
      <w:bookmarkEnd w:id="18"/>
    </w:p>
    <w:p w:rsidR="00722137" w:rsidRPr="00C13054" w:rsidRDefault="00722137" w:rsidP="00722137">
      <w:pPr>
        <w:rPr>
          <w:sz w:val="22"/>
          <w:szCs w:val="22"/>
        </w:rPr>
      </w:pPr>
    </w:p>
    <w:p w:rsidR="00722137" w:rsidRPr="00C13054" w:rsidRDefault="00722137" w:rsidP="00722137">
      <w:pPr>
        <w:rPr>
          <w:rFonts w:ascii="Arial" w:hAnsi="Arial" w:cs="Arial"/>
          <w:b/>
          <w:sz w:val="22"/>
          <w:szCs w:val="22"/>
        </w:rPr>
      </w:pPr>
      <w:r w:rsidRPr="00C13054">
        <w:rPr>
          <w:rFonts w:ascii="Arial" w:hAnsi="Arial" w:cs="Arial"/>
          <w:b/>
          <w:sz w:val="22"/>
          <w:szCs w:val="22"/>
        </w:rPr>
        <w:t>Reproduction of Gwynedd Archaeological Trust Project Design for an Archaeological</w:t>
      </w:r>
      <w:r w:rsidR="00FD7766">
        <w:rPr>
          <w:rFonts w:ascii="Arial" w:hAnsi="Arial" w:cs="Arial"/>
          <w:b/>
          <w:sz w:val="22"/>
          <w:szCs w:val="22"/>
        </w:rPr>
        <w:t xml:space="preserve"> </w:t>
      </w:r>
      <w:r w:rsidR="00CB2164">
        <w:rPr>
          <w:rFonts w:ascii="Arial" w:hAnsi="Arial" w:cs="Arial"/>
          <w:b/>
          <w:sz w:val="22"/>
          <w:szCs w:val="22"/>
        </w:rPr>
        <w:t>Watching Brief (</w:t>
      </w:r>
      <w:r w:rsidR="00FD7766">
        <w:rPr>
          <w:rFonts w:ascii="Arial" w:hAnsi="Arial" w:cs="Arial"/>
          <w:b/>
          <w:sz w:val="22"/>
          <w:szCs w:val="22"/>
        </w:rPr>
        <w:t>July</w:t>
      </w:r>
      <w:r w:rsidRPr="00C13054">
        <w:rPr>
          <w:rFonts w:ascii="Arial" w:hAnsi="Arial" w:cs="Arial"/>
          <w:b/>
          <w:sz w:val="22"/>
          <w:szCs w:val="22"/>
        </w:rPr>
        <w:t xml:space="preserve"> 2015)</w:t>
      </w:r>
    </w:p>
    <w:p w:rsidR="00043295" w:rsidRPr="00B57953" w:rsidRDefault="00043295" w:rsidP="00E1630B">
      <w:pPr>
        <w:ind w:right="26"/>
        <w:rPr>
          <w:rFonts w:ascii="Arial" w:hAnsi="Arial" w:cs="Arial"/>
          <w:b/>
          <w:sz w:val="22"/>
          <w:szCs w:val="22"/>
        </w:rPr>
      </w:pPr>
    </w:p>
    <w:p w:rsidR="00EC313C" w:rsidRPr="00C13054" w:rsidRDefault="00EC313C" w:rsidP="004F744F">
      <w:pPr>
        <w:pStyle w:val="Heading1"/>
      </w:pPr>
      <w:bookmarkStart w:id="19" w:name="_APPENDIX_II"/>
      <w:bookmarkEnd w:id="19"/>
      <w:r>
        <w:br w:type="page"/>
      </w:r>
      <w:bookmarkStart w:id="20" w:name="_Toc432067345"/>
      <w:r w:rsidR="00722137" w:rsidRPr="00C13054">
        <w:lastRenderedPageBreak/>
        <w:t>Appendix II</w:t>
      </w:r>
      <w:bookmarkEnd w:id="20"/>
    </w:p>
    <w:p w:rsidR="00722137" w:rsidRPr="00C13054" w:rsidRDefault="00722137" w:rsidP="00722137">
      <w:pPr>
        <w:rPr>
          <w:sz w:val="22"/>
          <w:szCs w:val="22"/>
        </w:rPr>
      </w:pPr>
    </w:p>
    <w:p w:rsidR="00722137" w:rsidRPr="00C13054" w:rsidRDefault="00385B75" w:rsidP="00722137">
      <w:pPr>
        <w:rPr>
          <w:rFonts w:ascii="Arial" w:hAnsi="Arial" w:cs="Arial"/>
          <w:b/>
          <w:sz w:val="22"/>
          <w:szCs w:val="22"/>
        </w:rPr>
      </w:pPr>
      <w:r w:rsidRPr="00C13054">
        <w:rPr>
          <w:rFonts w:ascii="Arial" w:hAnsi="Arial" w:cs="Arial"/>
          <w:b/>
          <w:sz w:val="22"/>
          <w:szCs w:val="22"/>
        </w:rPr>
        <w:t>Reproduction of Gwynedd Archaeological Trust Photographic Metadata</w:t>
      </w:r>
    </w:p>
    <w:tbl>
      <w:tblPr>
        <w:tblW w:w="8480" w:type="dxa"/>
        <w:tblInd w:w="93" w:type="dxa"/>
        <w:tblLook w:val="04A0" w:firstRow="1" w:lastRow="0" w:firstColumn="1" w:lastColumn="0" w:noHBand="0" w:noVBand="1"/>
      </w:tblPr>
      <w:tblGrid>
        <w:gridCol w:w="1573"/>
        <w:gridCol w:w="1340"/>
        <w:gridCol w:w="1380"/>
        <w:gridCol w:w="1273"/>
        <w:gridCol w:w="1080"/>
        <w:gridCol w:w="960"/>
        <w:gridCol w:w="1278"/>
      </w:tblGrid>
      <w:tr w:rsidR="008B2CCA" w:rsidRPr="008B2CCA" w:rsidTr="008B2CCA">
        <w:trPr>
          <w:trHeight w:val="300"/>
          <w:tblHeader/>
        </w:trPr>
        <w:tc>
          <w:tcPr>
            <w:tcW w:w="1420" w:type="dxa"/>
            <w:tcBorders>
              <w:top w:val="single" w:sz="8" w:space="0" w:color="auto"/>
              <w:left w:val="single" w:sz="8" w:space="0" w:color="auto"/>
              <w:bottom w:val="single" w:sz="4" w:space="0" w:color="000000"/>
              <w:right w:val="single" w:sz="4" w:space="0" w:color="auto"/>
            </w:tcBorders>
            <w:shd w:val="clear" w:color="000000" w:fill="C0C0C0"/>
            <w:noWrap/>
            <w:vAlign w:val="bottom"/>
            <w:hideMark/>
          </w:tcPr>
          <w:p w:rsidR="008B2CCA" w:rsidRPr="008B2CCA" w:rsidRDefault="008B2CCA" w:rsidP="008B2CCA">
            <w:pPr>
              <w:jc w:val="center"/>
              <w:rPr>
                <w:rFonts w:ascii="Calibri" w:hAnsi="Calibri" w:cs="Calibri"/>
                <w:b/>
                <w:bCs/>
                <w:color w:val="000000"/>
                <w:sz w:val="22"/>
                <w:szCs w:val="22"/>
                <w:lang w:eastAsia="en-GB"/>
              </w:rPr>
            </w:pPr>
            <w:r w:rsidRPr="008B2CCA">
              <w:rPr>
                <w:rFonts w:ascii="Calibri" w:hAnsi="Calibri" w:cs="Calibri"/>
                <w:b/>
                <w:bCs/>
                <w:color w:val="000000"/>
                <w:sz w:val="22"/>
                <w:szCs w:val="22"/>
                <w:lang w:eastAsia="en-GB"/>
              </w:rPr>
              <w:t>File reference</w:t>
            </w:r>
          </w:p>
        </w:tc>
        <w:tc>
          <w:tcPr>
            <w:tcW w:w="1340" w:type="dxa"/>
            <w:tcBorders>
              <w:top w:val="single" w:sz="8" w:space="0" w:color="auto"/>
              <w:left w:val="nil"/>
              <w:bottom w:val="single" w:sz="4" w:space="0" w:color="000000"/>
              <w:right w:val="single" w:sz="4" w:space="0" w:color="auto"/>
            </w:tcBorders>
            <w:shd w:val="clear" w:color="000000" w:fill="C0C0C0"/>
            <w:noWrap/>
            <w:vAlign w:val="bottom"/>
            <w:hideMark/>
          </w:tcPr>
          <w:p w:rsidR="008B2CCA" w:rsidRPr="008B2CCA" w:rsidRDefault="008B2CCA" w:rsidP="008B2CCA">
            <w:pPr>
              <w:jc w:val="center"/>
              <w:rPr>
                <w:rFonts w:ascii="Calibri" w:hAnsi="Calibri" w:cs="Calibri"/>
                <w:b/>
                <w:bCs/>
                <w:color w:val="000000"/>
                <w:sz w:val="22"/>
                <w:szCs w:val="22"/>
                <w:lang w:eastAsia="en-GB"/>
              </w:rPr>
            </w:pPr>
            <w:r w:rsidRPr="008B2CCA">
              <w:rPr>
                <w:rFonts w:ascii="Calibri" w:hAnsi="Calibri" w:cs="Calibri"/>
                <w:b/>
                <w:bCs/>
                <w:color w:val="000000"/>
                <w:sz w:val="22"/>
                <w:szCs w:val="22"/>
                <w:lang w:eastAsia="en-GB"/>
              </w:rPr>
              <w:t>Project name</w:t>
            </w:r>
          </w:p>
        </w:tc>
        <w:tc>
          <w:tcPr>
            <w:tcW w:w="1380" w:type="dxa"/>
            <w:tcBorders>
              <w:top w:val="single" w:sz="8" w:space="0" w:color="auto"/>
              <w:left w:val="nil"/>
              <w:bottom w:val="single" w:sz="4" w:space="0" w:color="000000"/>
              <w:right w:val="single" w:sz="4" w:space="0" w:color="auto"/>
            </w:tcBorders>
            <w:shd w:val="clear" w:color="000000" w:fill="C0C0C0"/>
            <w:noWrap/>
            <w:vAlign w:val="bottom"/>
            <w:hideMark/>
          </w:tcPr>
          <w:p w:rsidR="008B2CCA" w:rsidRPr="008B2CCA" w:rsidRDefault="008B2CCA" w:rsidP="008B2CCA">
            <w:pPr>
              <w:jc w:val="center"/>
              <w:rPr>
                <w:rFonts w:ascii="Calibri" w:hAnsi="Calibri" w:cs="Calibri"/>
                <w:b/>
                <w:bCs/>
                <w:color w:val="000000"/>
                <w:sz w:val="22"/>
                <w:szCs w:val="22"/>
                <w:lang w:eastAsia="en-GB"/>
              </w:rPr>
            </w:pPr>
            <w:r w:rsidRPr="008B2CCA">
              <w:rPr>
                <w:rFonts w:ascii="Calibri" w:hAnsi="Calibri" w:cs="Calibri"/>
                <w:b/>
                <w:bCs/>
                <w:color w:val="000000"/>
                <w:sz w:val="22"/>
                <w:szCs w:val="22"/>
                <w:lang w:eastAsia="en-GB"/>
              </w:rPr>
              <w:t>Project phase</w:t>
            </w:r>
          </w:p>
        </w:tc>
        <w:tc>
          <w:tcPr>
            <w:tcW w:w="1180" w:type="dxa"/>
            <w:tcBorders>
              <w:top w:val="single" w:sz="8" w:space="0" w:color="auto"/>
              <w:left w:val="nil"/>
              <w:bottom w:val="single" w:sz="4" w:space="0" w:color="000000"/>
              <w:right w:val="single" w:sz="4" w:space="0" w:color="auto"/>
            </w:tcBorders>
            <w:shd w:val="clear" w:color="000000" w:fill="C0C0C0"/>
            <w:noWrap/>
            <w:vAlign w:val="bottom"/>
            <w:hideMark/>
          </w:tcPr>
          <w:p w:rsidR="008B2CCA" w:rsidRPr="008B2CCA" w:rsidRDefault="008B2CCA" w:rsidP="008B2CCA">
            <w:pPr>
              <w:jc w:val="center"/>
              <w:rPr>
                <w:rFonts w:ascii="Calibri" w:hAnsi="Calibri" w:cs="Calibri"/>
                <w:b/>
                <w:bCs/>
                <w:color w:val="000000"/>
                <w:sz w:val="22"/>
                <w:szCs w:val="22"/>
                <w:lang w:eastAsia="en-GB"/>
              </w:rPr>
            </w:pPr>
            <w:r w:rsidRPr="008B2CCA">
              <w:rPr>
                <w:rFonts w:ascii="Calibri" w:hAnsi="Calibri" w:cs="Calibri"/>
                <w:b/>
                <w:bCs/>
                <w:color w:val="000000"/>
                <w:sz w:val="22"/>
                <w:szCs w:val="22"/>
                <w:lang w:eastAsia="en-GB"/>
              </w:rPr>
              <w:t>Description</w:t>
            </w:r>
          </w:p>
        </w:tc>
        <w:tc>
          <w:tcPr>
            <w:tcW w:w="1080" w:type="dxa"/>
            <w:tcBorders>
              <w:top w:val="single" w:sz="8" w:space="0" w:color="auto"/>
              <w:left w:val="nil"/>
              <w:bottom w:val="single" w:sz="4" w:space="0" w:color="000000"/>
              <w:right w:val="single" w:sz="4" w:space="0" w:color="auto"/>
            </w:tcBorders>
            <w:shd w:val="clear" w:color="000000" w:fill="C0C0C0"/>
            <w:noWrap/>
            <w:vAlign w:val="bottom"/>
            <w:hideMark/>
          </w:tcPr>
          <w:p w:rsidR="008B2CCA" w:rsidRPr="008B2CCA" w:rsidRDefault="008B2CCA" w:rsidP="008B2CCA">
            <w:pPr>
              <w:jc w:val="center"/>
              <w:rPr>
                <w:rFonts w:ascii="Calibri" w:hAnsi="Calibri" w:cs="Calibri"/>
                <w:b/>
                <w:bCs/>
                <w:color w:val="000000"/>
                <w:sz w:val="22"/>
                <w:szCs w:val="22"/>
                <w:lang w:eastAsia="en-GB"/>
              </w:rPr>
            </w:pPr>
            <w:r w:rsidRPr="008B2CCA">
              <w:rPr>
                <w:rFonts w:ascii="Calibri" w:hAnsi="Calibri" w:cs="Calibri"/>
                <w:b/>
                <w:bCs/>
                <w:color w:val="000000"/>
                <w:sz w:val="22"/>
                <w:szCs w:val="22"/>
                <w:lang w:eastAsia="en-GB"/>
              </w:rPr>
              <w:t>View from</w:t>
            </w:r>
          </w:p>
        </w:tc>
        <w:tc>
          <w:tcPr>
            <w:tcW w:w="960" w:type="dxa"/>
            <w:tcBorders>
              <w:top w:val="single" w:sz="8" w:space="0" w:color="auto"/>
              <w:left w:val="nil"/>
              <w:bottom w:val="single" w:sz="4" w:space="0" w:color="000000"/>
              <w:right w:val="single" w:sz="4" w:space="0" w:color="auto"/>
            </w:tcBorders>
            <w:shd w:val="clear" w:color="000000" w:fill="C0C0C0"/>
            <w:noWrap/>
            <w:vAlign w:val="bottom"/>
            <w:hideMark/>
          </w:tcPr>
          <w:p w:rsidR="008B2CCA" w:rsidRPr="008B2CCA" w:rsidRDefault="008B2CCA" w:rsidP="008B2CCA">
            <w:pPr>
              <w:jc w:val="center"/>
              <w:rPr>
                <w:rFonts w:ascii="Calibri" w:hAnsi="Calibri" w:cs="Calibri"/>
                <w:b/>
                <w:bCs/>
                <w:color w:val="000000"/>
                <w:sz w:val="22"/>
                <w:szCs w:val="22"/>
                <w:lang w:eastAsia="en-GB"/>
              </w:rPr>
            </w:pPr>
            <w:r w:rsidRPr="008B2CCA">
              <w:rPr>
                <w:rFonts w:ascii="Calibri" w:hAnsi="Calibri" w:cs="Calibri"/>
                <w:b/>
                <w:bCs/>
                <w:color w:val="000000"/>
                <w:sz w:val="22"/>
                <w:szCs w:val="22"/>
                <w:lang w:eastAsia="en-GB"/>
              </w:rPr>
              <w:t>Scale (s)</w:t>
            </w:r>
          </w:p>
        </w:tc>
        <w:tc>
          <w:tcPr>
            <w:tcW w:w="1120" w:type="dxa"/>
            <w:tcBorders>
              <w:top w:val="single" w:sz="8" w:space="0" w:color="auto"/>
              <w:left w:val="nil"/>
              <w:bottom w:val="single" w:sz="4" w:space="0" w:color="000000"/>
              <w:right w:val="single" w:sz="8" w:space="0" w:color="auto"/>
            </w:tcBorders>
            <w:shd w:val="clear" w:color="000000" w:fill="C0C0C0"/>
            <w:noWrap/>
            <w:vAlign w:val="bottom"/>
            <w:hideMark/>
          </w:tcPr>
          <w:p w:rsidR="008B2CCA" w:rsidRPr="008B2CCA" w:rsidRDefault="008B2CCA" w:rsidP="008B2CCA">
            <w:pPr>
              <w:jc w:val="center"/>
              <w:rPr>
                <w:rFonts w:ascii="Calibri" w:hAnsi="Calibri" w:cs="Calibri"/>
                <w:b/>
                <w:bCs/>
                <w:color w:val="000000"/>
                <w:sz w:val="22"/>
                <w:szCs w:val="22"/>
                <w:lang w:eastAsia="en-GB"/>
              </w:rPr>
            </w:pPr>
            <w:r w:rsidRPr="008B2CCA">
              <w:rPr>
                <w:rFonts w:ascii="Calibri" w:hAnsi="Calibri" w:cs="Calibri"/>
                <w:b/>
                <w:bCs/>
                <w:color w:val="000000"/>
                <w:sz w:val="22"/>
                <w:szCs w:val="22"/>
                <w:lang w:eastAsia="en-GB"/>
              </w:rPr>
              <w:t>Date</w:t>
            </w:r>
          </w:p>
        </w:tc>
      </w:tr>
      <w:tr w:rsidR="008B2CCA" w:rsidRPr="008B2CCA" w:rsidTr="008B2CCA">
        <w:trPr>
          <w:trHeight w:val="1500"/>
        </w:trPr>
        <w:tc>
          <w:tcPr>
            <w:tcW w:w="1420" w:type="dxa"/>
            <w:tcBorders>
              <w:top w:val="single" w:sz="4" w:space="0" w:color="C0C0C0"/>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G2434_001.jpg</w:t>
            </w:r>
          </w:p>
        </w:tc>
        <w:tc>
          <w:tcPr>
            <w:tcW w:w="1340" w:type="dxa"/>
            <w:tcBorders>
              <w:top w:val="single" w:sz="4" w:space="0" w:color="C0C0C0"/>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single" w:sz="4" w:space="0" w:color="C0C0C0"/>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single" w:sz="4" w:space="0" w:color="C0C0C0"/>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Arch within southern wall of kitchen garden.</w:t>
            </w:r>
          </w:p>
        </w:tc>
        <w:tc>
          <w:tcPr>
            <w:tcW w:w="1080" w:type="dxa"/>
            <w:tcBorders>
              <w:top w:val="single" w:sz="4" w:space="0" w:color="C0C0C0"/>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single" w:sz="4" w:space="0" w:color="C0C0C0"/>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single" w:sz="4" w:space="0" w:color="C0C0C0"/>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G2434_002.jpg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Southern wall of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G2434_003.jpg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Southern wall of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G2434_004.jpg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Corner building,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5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G2434_005.jpg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Corner building &amp; door,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G2434_006.jpg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Western wall,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G2434_007.jpg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Western wall,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G2434_008.jpg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Western wall,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5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G2434_009.jpg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Kitchen garden, pre-ex view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5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lastRenderedPageBreak/>
              <w:t>G2434_010.jpg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Kitchen garden, pre-ex view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5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G2434_011.jpg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Kitchen garden, pre-ex view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G2434_012.jpg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Location of bon fire.</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G2434_013.jpg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Solar panels in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8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G2434_014.jpg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Solar panel attached to eastern wall of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8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G2434_015.jpg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Re-built section of wall in SE corner of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21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G2434_016.jpg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Tree stumps along the southern wall,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9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G2434_017.jpg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Close-up of tree stumps.</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G2434_018.jpg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Mound/ice-house.</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G2434_019.jpg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Mound/ice-house.</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18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lastRenderedPageBreak/>
              <w:t>G2434_020.jpg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Close-up of southern wall (re-built),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9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G2434_041.jpg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Area stripped of subsoil.</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9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G2434_042.jpg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View of tennis court area.</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21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G2434_021.jpg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Dressed stone base of arch in southern wall, kitchen garden.</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10/09/2015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G2434_022.jpg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View of Rhug Hall.</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G2434_023.jpg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View of Rhug Hall.</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G2434_024.jpg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Topsoil strip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G2434_025.jpg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Topsoil strip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G2434_026.jpg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Topsoil strip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G2434_027.jpg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Topsoil strip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G2434_028.jpg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Section of path [004].</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lastRenderedPageBreak/>
              <w:t>G2434_029.jpg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Route of path [004] (portrait view).</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G2434_030.jpg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Route of path [004] (landscape view)</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G2434_031.jpg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Close-up of disturbed surface of path [004].</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G2434_032.jpg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Layer [005].</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G2434_033.jpg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Shot of path [003].</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6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G2434_034.jpg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Close-up of path [003].</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G2434_035.jpg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Subsoil strip of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G2434_036.jpg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 facing section through [003].</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G2434_037.jpg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 facing section through [003].</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5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G2434_038.jpg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 corner of the tennis court stripped.</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SE</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1m</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00"/>
        </w:trPr>
        <w:tc>
          <w:tcPr>
            <w:tcW w:w="1420" w:type="dxa"/>
            <w:tcBorders>
              <w:top w:val="nil"/>
              <w:left w:val="single" w:sz="8" w:space="0" w:color="auto"/>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G2434_039.jpg</w:t>
            </w:r>
          </w:p>
        </w:tc>
        <w:tc>
          <w:tcPr>
            <w:tcW w:w="134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Subsoil strip of the tennis court.</w:t>
            </w:r>
          </w:p>
        </w:tc>
        <w:tc>
          <w:tcPr>
            <w:tcW w:w="108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4"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4"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r w:rsidR="008B2CCA" w:rsidRPr="008B2CCA" w:rsidTr="008B2CCA">
        <w:trPr>
          <w:trHeight w:val="1215"/>
        </w:trPr>
        <w:tc>
          <w:tcPr>
            <w:tcW w:w="1420" w:type="dxa"/>
            <w:tcBorders>
              <w:top w:val="nil"/>
              <w:left w:val="single" w:sz="8" w:space="0" w:color="auto"/>
              <w:bottom w:val="single" w:sz="8"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G2434_040.jpg</w:t>
            </w:r>
          </w:p>
        </w:tc>
        <w:tc>
          <w:tcPr>
            <w:tcW w:w="1340" w:type="dxa"/>
            <w:tcBorders>
              <w:top w:val="nil"/>
              <w:left w:val="nil"/>
              <w:bottom w:val="single" w:sz="8"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Rhug Hall Corwen</w:t>
            </w:r>
          </w:p>
        </w:tc>
        <w:tc>
          <w:tcPr>
            <w:tcW w:w="1380" w:type="dxa"/>
            <w:tcBorders>
              <w:top w:val="nil"/>
              <w:left w:val="nil"/>
              <w:bottom w:val="single" w:sz="8"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Watching Brief</w:t>
            </w:r>
          </w:p>
        </w:tc>
        <w:tc>
          <w:tcPr>
            <w:tcW w:w="1180" w:type="dxa"/>
            <w:tcBorders>
              <w:top w:val="nil"/>
              <w:left w:val="nil"/>
              <w:bottom w:val="single" w:sz="8"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Subsoil strip of the tennis court.</w:t>
            </w:r>
          </w:p>
        </w:tc>
        <w:tc>
          <w:tcPr>
            <w:tcW w:w="1080" w:type="dxa"/>
            <w:tcBorders>
              <w:top w:val="nil"/>
              <w:left w:val="nil"/>
              <w:bottom w:val="single" w:sz="8"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NW</w:t>
            </w:r>
          </w:p>
        </w:tc>
        <w:tc>
          <w:tcPr>
            <w:tcW w:w="960" w:type="dxa"/>
            <w:tcBorders>
              <w:top w:val="nil"/>
              <w:left w:val="nil"/>
              <w:bottom w:val="single" w:sz="8" w:space="0" w:color="auto"/>
              <w:right w:val="single" w:sz="4" w:space="0" w:color="auto"/>
            </w:tcBorders>
            <w:shd w:val="clear" w:color="auto" w:fill="auto"/>
            <w:vAlign w:val="bottom"/>
            <w:hideMark/>
          </w:tcPr>
          <w:p w:rsidR="008B2CCA" w:rsidRPr="008B2CCA" w:rsidRDefault="008B2CCA" w:rsidP="008B2CCA">
            <w:pPr>
              <w:rPr>
                <w:rFonts w:ascii="Calibri" w:hAnsi="Calibri" w:cs="Calibri"/>
                <w:color w:val="000000"/>
                <w:sz w:val="22"/>
                <w:szCs w:val="22"/>
                <w:lang w:eastAsia="en-GB"/>
              </w:rPr>
            </w:pPr>
            <w:r w:rsidRPr="008B2CCA">
              <w:rPr>
                <w:rFonts w:ascii="Calibri" w:hAnsi="Calibri" w:cs="Calibri"/>
                <w:color w:val="000000"/>
                <w:sz w:val="22"/>
                <w:szCs w:val="22"/>
                <w:lang w:eastAsia="en-GB"/>
              </w:rPr>
              <w:t>-</w:t>
            </w:r>
          </w:p>
        </w:tc>
        <w:tc>
          <w:tcPr>
            <w:tcW w:w="1120" w:type="dxa"/>
            <w:tcBorders>
              <w:top w:val="nil"/>
              <w:left w:val="nil"/>
              <w:bottom w:val="single" w:sz="8" w:space="0" w:color="auto"/>
              <w:right w:val="single" w:sz="8" w:space="0" w:color="auto"/>
            </w:tcBorders>
            <w:shd w:val="clear" w:color="auto" w:fill="auto"/>
            <w:vAlign w:val="bottom"/>
            <w:hideMark/>
          </w:tcPr>
          <w:p w:rsidR="008B2CCA" w:rsidRPr="008B2CCA" w:rsidRDefault="008B2CCA" w:rsidP="008B2CCA">
            <w:pPr>
              <w:jc w:val="right"/>
              <w:rPr>
                <w:rFonts w:ascii="Calibri" w:hAnsi="Calibri" w:cs="Calibri"/>
                <w:color w:val="000000"/>
                <w:sz w:val="22"/>
                <w:szCs w:val="22"/>
                <w:lang w:eastAsia="en-GB"/>
              </w:rPr>
            </w:pPr>
            <w:r w:rsidRPr="008B2CCA">
              <w:rPr>
                <w:rFonts w:ascii="Calibri" w:hAnsi="Calibri" w:cs="Calibri"/>
                <w:color w:val="000000"/>
                <w:sz w:val="22"/>
                <w:szCs w:val="22"/>
                <w:lang w:eastAsia="en-GB"/>
              </w:rPr>
              <w:t>11/09/2015</w:t>
            </w:r>
          </w:p>
        </w:tc>
      </w:tr>
    </w:tbl>
    <w:p w:rsidR="00043295" w:rsidRPr="00B57953" w:rsidRDefault="00043295" w:rsidP="00CE7ED1">
      <w:pPr>
        <w:rPr>
          <w:rFonts w:ascii="Arial" w:hAnsi="Arial" w:cs="Arial"/>
          <w:sz w:val="22"/>
          <w:szCs w:val="22"/>
        </w:rPr>
      </w:pPr>
    </w:p>
    <w:sectPr w:rsidR="00043295" w:rsidRPr="00B57953" w:rsidSect="004120B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2D" w:rsidRDefault="009A132D">
      <w:r>
        <w:separator/>
      </w:r>
    </w:p>
  </w:endnote>
  <w:endnote w:type="continuationSeparator" w:id="0">
    <w:p w:rsidR="009A132D" w:rsidRDefault="009A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Pro-Semi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2D" w:rsidRDefault="009A132D" w:rsidP="00867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32D" w:rsidRDefault="009A1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2D" w:rsidRPr="00D34E5E" w:rsidRDefault="009A132D" w:rsidP="0086728A">
    <w:pPr>
      <w:pStyle w:val="Footer"/>
      <w:framePr w:wrap="around" w:vAnchor="text" w:hAnchor="margin" w:xAlign="center" w:y="1"/>
      <w:rPr>
        <w:rStyle w:val="PageNumber"/>
        <w:rFonts w:ascii="Arial" w:hAnsi="Arial" w:cs="Arial"/>
        <w:sz w:val="22"/>
        <w:szCs w:val="22"/>
      </w:rPr>
    </w:pPr>
    <w:r w:rsidRPr="00D34E5E">
      <w:rPr>
        <w:rStyle w:val="PageNumber"/>
        <w:rFonts w:ascii="Arial" w:hAnsi="Arial" w:cs="Arial"/>
        <w:sz w:val="22"/>
        <w:szCs w:val="22"/>
      </w:rPr>
      <w:fldChar w:fldCharType="begin"/>
    </w:r>
    <w:r w:rsidRPr="00D34E5E">
      <w:rPr>
        <w:rStyle w:val="PageNumber"/>
        <w:rFonts w:ascii="Arial" w:hAnsi="Arial" w:cs="Arial"/>
        <w:sz w:val="22"/>
        <w:szCs w:val="22"/>
      </w:rPr>
      <w:instrText xml:space="preserve">PAGE  </w:instrText>
    </w:r>
    <w:r w:rsidRPr="00D34E5E">
      <w:rPr>
        <w:rStyle w:val="PageNumber"/>
        <w:rFonts w:ascii="Arial" w:hAnsi="Arial" w:cs="Arial"/>
        <w:sz w:val="22"/>
        <w:szCs w:val="22"/>
      </w:rPr>
      <w:fldChar w:fldCharType="separate"/>
    </w:r>
    <w:r w:rsidR="00231E71">
      <w:rPr>
        <w:rStyle w:val="PageNumber"/>
        <w:rFonts w:ascii="Arial" w:hAnsi="Arial" w:cs="Arial"/>
        <w:noProof/>
        <w:sz w:val="22"/>
        <w:szCs w:val="22"/>
      </w:rPr>
      <w:t>6</w:t>
    </w:r>
    <w:r w:rsidRPr="00D34E5E">
      <w:rPr>
        <w:rStyle w:val="PageNumber"/>
        <w:rFonts w:ascii="Arial" w:hAnsi="Arial" w:cs="Arial"/>
        <w:sz w:val="22"/>
        <w:szCs w:val="22"/>
      </w:rPr>
      <w:fldChar w:fldCharType="end"/>
    </w:r>
  </w:p>
  <w:p w:rsidR="009A132D" w:rsidRPr="00831154" w:rsidRDefault="009A132D">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2D" w:rsidRDefault="009A132D">
      <w:r>
        <w:separator/>
      </w:r>
    </w:p>
  </w:footnote>
  <w:footnote w:type="continuationSeparator" w:id="0">
    <w:p w:rsidR="009A132D" w:rsidRDefault="009A1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036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4C05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9CD1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3001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5AA1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F09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DEA5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0098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88A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D065A4"/>
    <w:lvl w:ilvl="0">
      <w:start w:val="1"/>
      <w:numFmt w:val="bullet"/>
      <w:lvlText w:val=""/>
      <w:lvlJc w:val="left"/>
      <w:pPr>
        <w:tabs>
          <w:tab w:val="num" w:pos="360"/>
        </w:tabs>
        <w:ind w:left="360" w:hanging="360"/>
      </w:pPr>
      <w:rPr>
        <w:rFonts w:ascii="Symbol" w:hAnsi="Symbol" w:hint="default"/>
      </w:rPr>
    </w:lvl>
  </w:abstractNum>
  <w:abstractNum w:abstractNumId="10">
    <w:nsid w:val="007B244B"/>
    <w:multiLevelType w:val="hybridMultilevel"/>
    <w:tmpl w:val="FBFE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DB59CB"/>
    <w:multiLevelType w:val="hybridMultilevel"/>
    <w:tmpl w:val="1E56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7C3005D"/>
    <w:multiLevelType w:val="hybridMultilevel"/>
    <w:tmpl w:val="40126A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0DA761CC"/>
    <w:multiLevelType w:val="hybridMultilevel"/>
    <w:tmpl w:val="28525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654A9D"/>
    <w:multiLevelType w:val="hybridMultilevel"/>
    <w:tmpl w:val="438255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860688"/>
    <w:multiLevelType w:val="hybridMultilevel"/>
    <w:tmpl w:val="5D62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5C0073"/>
    <w:multiLevelType w:val="hybridMultilevel"/>
    <w:tmpl w:val="F222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574D22"/>
    <w:multiLevelType w:val="hybridMultilevel"/>
    <w:tmpl w:val="C6F06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62714A"/>
    <w:multiLevelType w:val="hybridMultilevel"/>
    <w:tmpl w:val="E9587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D3C34FB"/>
    <w:multiLevelType w:val="hybridMultilevel"/>
    <w:tmpl w:val="0B2295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B13524"/>
    <w:multiLevelType w:val="hybridMultilevel"/>
    <w:tmpl w:val="CCA68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852E86"/>
    <w:multiLevelType w:val="hybridMultilevel"/>
    <w:tmpl w:val="5FCA2E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7B183E"/>
    <w:multiLevelType w:val="multilevel"/>
    <w:tmpl w:val="6F64B0E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6404BDE"/>
    <w:multiLevelType w:val="hybridMultilevel"/>
    <w:tmpl w:val="8C14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2A5CFA"/>
    <w:multiLevelType w:val="hybridMultilevel"/>
    <w:tmpl w:val="D01EA2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2378B4"/>
    <w:multiLevelType w:val="hybridMultilevel"/>
    <w:tmpl w:val="AC6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971C59"/>
    <w:multiLevelType w:val="hybridMultilevel"/>
    <w:tmpl w:val="52E82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6BE0D13"/>
    <w:multiLevelType w:val="hybridMultilevel"/>
    <w:tmpl w:val="634A7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4A4750"/>
    <w:multiLevelType w:val="hybridMultilevel"/>
    <w:tmpl w:val="5A6E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8B2985"/>
    <w:multiLevelType w:val="hybridMultilevel"/>
    <w:tmpl w:val="1842F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BB20AE"/>
    <w:multiLevelType w:val="hybridMultilevel"/>
    <w:tmpl w:val="E9F8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A14327"/>
    <w:multiLevelType w:val="hybridMultilevel"/>
    <w:tmpl w:val="CDFAA0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36ADB"/>
    <w:multiLevelType w:val="hybridMultilevel"/>
    <w:tmpl w:val="0E9A79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A53CA5"/>
    <w:multiLevelType w:val="hybridMultilevel"/>
    <w:tmpl w:val="7382B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4F52E91"/>
    <w:multiLevelType w:val="hybridMultilevel"/>
    <w:tmpl w:val="3AEAA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FB1DBE"/>
    <w:multiLevelType w:val="hybridMultilevel"/>
    <w:tmpl w:val="50BA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486A5A"/>
    <w:multiLevelType w:val="hybridMultilevel"/>
    <w:tmpl w:val="AB92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B06FFE"/>
    <w:multiLevelType w:val="hybridMultilevel"/>
    <w:tmpl w:val="4D42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152E7F"/>
    <w:multiLevelType w:val="hybridMultilevel"/>
    <w:tmpl w:val="5B24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7"/>
  </w:num>
  <w:num w:numId="4">
    <w:abstractNumId w:val="13"/>
  </w:num>
  <w:num w:numId="5">
    <w:abstractNumId w:val="34"/>
  </w:num>
  <w:num w:numId="6">
    <w:abstractNumId w:val="27"/>
  </w:num>
  <w:num w:numId="7">
    <w:abstractNumId w:val="20"/>
  </w:num>
  <w:num w:numId="8">
    <w:abstractNumId w:val="28"/>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14"/>
  </w:num>
  <w:num w:numId="22">
    <w:abstractNumId w:val="33"/>
  </w:num>
  <w:num w:numId="23">
    <w:abstractNumId w:val="11"/>
  </w:num>
  <w:num w:numId="24">
    <w:abstractNumId w:val="12"/>
  </w:num>
  <w:num w:numId="25">
    <w:abstractNumId w:val="18"/>
  </w:num>
  <w:num w:numId="26">
    <w:abstractNumId w:val="26"/>
  </w:num>
  <w:num w:numId="27">
    <w:abstractNumId w:val="11"/>
  </w:num>
  <w:num w:numId="28">
    <w:abstractNumId w:val="15"/>
  </w:num>
  <w:num w:numId="29">
    <w:abstractNumId w:val="16"/>
  </w:num>
  <w:num w:numId="30">
    <w:abstractNumId w:val="35"/>
  </w:num>
  <w:num w:numId="31">
    <w:abstractNumId w:val="10"/>
  </w:num>
  <w:num w:numId="32">
    <w:abstractNumId w:val="38"/>
  </w:num>
  <w:num w:numId="33">
    <w:abstractNumId w:val="22"/>
  </w:num>
  <w:num w:numId="34">
    <w:abstractNumId w:val="37"/>
  </w:num>
  <w:num w:numId="35">
    <w:abstractNumId w:val="19"/>
  </w:num>
  <w:num w:numId="36">
    <w:abstractNumId w:val="32"/>
  </w:num>
  <w:num w:numId="37">
    <w:abstractNumId w:val="31"/>
  </w:num>
  <w:num w:numId="38">
    <w:abstractNumId w:val="21"/>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2BE"/>
    <w:rsid w:val="00001E9F"/>
    <w:rsid w:val="000047E6"/>
    <w:rsid w:val="000121F2"/>
    <w:rsid w:val="0001248C"/>
    <w:rsid w:val="00017F7C"/>
    <w:rsid w:val="00025D63"/>
    <w:rsid w:val="00025DB5"/>
    <w:rsid w:val="00026C7C"/>
    <w:rsid w:val="0003058B"/>
    <w:rsid w:val="00030A65"/>
    <w:rsid w:val="00037125"/>
    <w:rsid w:val="00043295"/>
    <w:rsid w:val="000433DF"/>
    <w:rsid w:val="00045293"/>
    <w:rsid w:val="00050ADA"/>
    <w:rsid w:val="00060F60"/>
    <w:rsid w:val="00064D1F"/>
    <w:rsid w:val="00065CFA"/>
    <w:rsid w:val="000713BD"/>
    <w:rsid w:val="0007333B"/>
    <w:rsid w:val="0007394E"/>
    <w:rsid w:val="00073F3D"/>
    <w:rsid w:val="00081405"/>
    <w:rsid w:val="00086892"/>
    <w:rsid w:val="0009303D"/>
    <w:rsid w:val="00094C8B"/>
    <w:rsid w:val="000A168F"/>
    <w:rsid w:val="000A6F25"/>
    <w:rsid w:val="000B1F9D"/>
    <w:rsid w:val="000C026A"/>
    <w:rsid w:val="000C03CB"/>
    <w:rsid w:val="000C3D2A"/>
    <w:rsid w:val="000C735E"/>
    <w:rsid w:val="000D2EF3"/>
    <w:rsid w:val="000D4ABD"/>
    <w:rsid w:val="000D6772"/>
    <w:rsid w:val="000D75F8"/>
    <w:rsid w:val="000E1AA8"/>
    <w:rsid w:val="000E78F7"/>
    <w:rsid w:val="000F1BA4"/>
    <w:rsid w:val="000F26EB"/>
    <w:rsid w:val="000F3558"/>
    <w:rsid w:val="000F3F69"/>
    <w:rsid w:val="0010369D"/>
    <w:rsid w:val="00103D19"/>
    <w:rsid w:val="0011244E"/>
    <w:rsid w:val="00122AFD"/>
    <w:rsid w:val="00122BD0"/>
    <w:rsid w:val="0012678E"/>
    <w:rsid w:val="00132110"/>
    <w:rsid w:val="00133585"/>
    <w:rsid w:val="00134064"/>
    <w:rsid w:val="00140DF3"/>
    <w:rsid w:val="00143336"/>
    <w:rsid w:val="00144096"/>
    <w:rsid w:val="00146417"/>
    <w:rsid w:val="00150F4D"/>
    <w:rsid w:val="001517AD"/>
    <w:rsid w:val="00156C06"/>
    <w:rsid w:val="00172EE4"/>
    <w:rsid w:val="001757A1"/>
    <w:rsid w:val="00176390"/>
    <w:rsid w:val="00180EAF"/>
    <w:rsid w:val="00181436"/>
    <w:rsid w:val="001927A1"/>
    <w:rsid w:val="001A08F4"/>
    <w:rsid w:val="001A1E2C"/>
    <w:rsid w:val="001A3F3D"/>
    <w:rsid w:val="001A5584"/>
    <w:rsid w:val="001A66DB"/>
    <w:rsid w:val="001B0921"/>
    <w:rsid w:val="001B3ECC"/>
    <w:rsid w:val="001B53FA"/>
    <w:rsid w:val="001B63BF"/>
    <w:rsid w:val="001B7C8F"/>
    <w:rsid w:val="001C38AD"/>
    <w:rsid w:val="001C7918"/>
    <w:rsid w:val="001C7F38"/>
    <w:rsid w:val="001D2394"/>
    <w:rsid w:val="001D48E2"/>
    <w:rsid w:val="001D599A"/>
    <w:rsid w:val="001D5D77"/>
    <w:rsid w:val="001E495D"/>
    <w:rsid w:val="001F53F4"/>
    <w:rsid w:val="00205A2C"/>
    <w:rsid w:val="002170D2"/>
    <w:rsid w:val="002201F5"/>
    <w:rsid w:val="00220873"/>
    <w:rsid w:val="0022242B"/>
    <w:rsid w:val="00224E9B"/>
    <w:rsid w:val="00231E71"/>
    <w:rsid w:val="00232C46"/>
    <w:rsid w:val="0024223F"/>
    <w:rsid w:val="0024538B"/>
    <w:rsid w:val="0026245E"/>
    <w:rsid w:val="0026493C"/>
    <w:rsid w:val="002666E3"/>
    <w:rsid w:val="00272E1D"/>
    <w:rsid w:val="00274368"/>
    <w:rsid w:val="00275567"/>
    <w:rsid w:val="00277480"/>
    <w:rsid w:val="002776C4"/>
    <w:rsid w:val="00277CF9"/>
    <w:rsid w:val="0028012B"/>
    <w:rsid w:val="0028154B"/>
    <w:rsid w:val="002820C9"/>
    <w:rsid w:val="002851A1"/>
    <w:rsid w:val="00286F88"/>
    <w:rsid w:val="00291774"/>
    <w:rsid w:val="002923FD"/>
    <w:rsid w:val="00292B85"/>
    <w:rsid w:val="002A1B35"/>
    <w:rsid w:val="002A7B83"/>
    <w:rsid w:val="002C47AC"/>
    <w:rsid w:val="002C482A"/>
    <w:rsid w:val="002C5A8E"/>
    <w:rsid w:val="002C7277"/>
    <w:rsid w:val="002C74DA"/>
    <w:rsid w:val="002D0B65"/>
    <w:rsid w:val="002D4A17"/>
    <w:rsid w:val="002D4D32"/>
    <w:rsid w:val="002D52D8"/>
    <w:rsid w:val="002D7C73"/>
    <w:rsid w:val="002E57A3"/>
    <w:rsid w:val="002E7D4D"/>
    <w:rsid w:val="00303442"/>
    <w:rsid w:val="003045FB"/>
    <w:rsid w:val="003061D1"/>
    <w:rsid w:val="00307D98"/>
    <w:rsid w:val="00310DDF"/>
    <w:rsid w:val="00314014"/>
    <w:rsid w:val="00322165"/>
    <w:rsid w:val="0032769C"/>
    <w:rsid w:val="00330A8D"/>
    <w:rsid w:val="00333CD2"/>
    <w:rsid w:val="00334C0C"/>
    <w:rsid w:val="0033514C"/>
    <w:rsid w:val="0033589B"/>
    <w:rsid w:val="0034006F"/>
    <w:rsid w:val="00345D32"/>
    <w:rsid w:val="00352FBA"/>
    <w:rsid w:val="00353FAC"/>
    <w:rsid w:val="003604CA"/>
    <w:rsid w:val="00372FB3"/>
    <w:rsid w:val="0037674A"/>
    <w:rsid w:val="00382779"/>
    <w:rsid w:val="00385B75"/>
    <w:rsid w:val="003860D4"/>
    <w:rsid w:val="00386FAE"/>
    <w:rsid w:val="003877DD"/>
    <w:rsid w:val="0039078E"/>
    <w:rsid w:val="00397A86"/>
    <w:rsid w:val="003A0A39"/>
    <w:rsid w:val="003A2332"/>
    <w:rsid w:val="003A67E0"/>
    <w:rsid w:val="003B196B"/>
    <w:rsid w:val="003D159E"/>
    <w:rsid w:val="003D5907"/>
    <w:rsid w:val="003E44DB"/>
    <w:rsid w:val="003F0C61"/>
    <w:rsid w:val="003F128E"/>
    <w:rsid w:val="003F2479"/>
    <w:rsid w:val="003F2741"/>
    <w:rsid w:val="003F3038"/>
    <w:rsid w:val="003F339C"/>
    <w:rsid w:val="003F6926"/>
    <w:rsid w:val="003F787A"/>
    <w:rsid w:val="00405041"/>
    <w:rsid w:val="0040652F"/>
    <w:rsid w:val="004066D7"/>
    <w:rsid w:val="004120BF"/>
    <w:rsid w:val="00414E07"/>
    <w:rsid w:val="00416D46"/>
    <w:rsid w:val="00416FA2"/>
    <w:rsid w:val="00420268"/>
    <w:rsid w:val="004223D6"/>
    <w:rsid w:val="00422D71"/>
    <w:rsid w:val="0043154E"/>
    <w:rsid w:val="00432650"/>
    <w:rsid w:val="00432C20"/>
    <w:rsid w:val="004375FD"/>
    <w:rsid w:val="00450852"/>
    <w:rsid w:val="00450869"/>
    <w:rsid w:val="004521A4"/>
    <w:rsid w:val="004608E2"/>
    <w:rsid w:val="004615DB"/>
    <w:rsid w:val="004642F4"/>
    <w:rsid w:val="00471439"/>
    <w:rsid w:val="0048086C"/>
    <w:rsid w:val="00494989"/>
    <w:rsid w:val="00495CBE"/>
    <w:rsid w:val="004A3E95"/>
    <w:rsid w:val="004A612E"/>
    <w:rsid w:val="004A66A9"/>
    <w:rsid w:val="004B500F"/>
    <w:rsid w:val="004C6633"/>
    <w:rsid w:val="004C6DBC"/>
    <w:rsid w:val="004D0718"/>
    <w:rsid w:val="004D1E8A"/>
    <w:rsid w:val="004E3536"/>
    <w:rsid w:val="004E5406"/>
    <w:rsid w:val="004F00E4"/>
    <w:rsid w:val="004F744F"/>
    <w:rsid w:val="005017F5"/>
    <w:rsid w:val="0050305E"/>
    <w:rsid w:val="00504642"/>
    <w:rsid w:val="0050599B"/>
    <w:rsid w:val="00506251"/>
    <w:rsid w:val="00506FCE"/>
    <w:rsid w:val="00507C97"/>
    <w:rsid w:val="00514ACA"/>
    <w:rsid w:val="005160FE"/>
    <w:rsid w:val="00516278"/>
    <w:rsid w:val="00527028"/>
    <w:rsid w:val="00533B2B"/>
    <w:rsid w:val="00534026"/>
    <w:rsid w:val="005346F9"/>
    <w:rsid w:val="00535587"/>
    <w:rsid w:val="0053574A"/>
    <w:rsid w:val="005546D1"/>
    <w:rsid w:val="00556D70"/>
    <w:rsid w:val="0056030C"/>
    <w:rsid w:val="00561032"/>
    <w:rsid w:val="00561995"/>
    <w:rsid w:val="00565719"/>
    <w:rsid w:val="005670C4"/>
    <w:rsid w:val="00575FF2"/>
    <w:rsid w:val="00576B07"/>
    <w:rsid w:val="00577EF6"/>
    <w:rsid w:val="0058014C"/>
    <w:rsid w:val="005830B9"/>
    <w:rsid w:val="00586F4A"/>
    <w:rsid w:val="00590E51"/>
    <w:rsid w:val="00593C8E"/>
    <w:rsid w:val="005A1595"/>
    <w:rsid w:val="005A69CE"/>
    <w:rsid w:val="005B1295"/>
    <w:rsid w:val="005D03F5"/>
    <w:rsid w:val="005D2D5D"/>
    <w:rsid w:val="005D4443"/>
    <w:rsid w:val="005D7FE2"/>
    <w:rsid w:val="005E2483"/>
    <w:rsid w:val="005E59CE"/>
    <w:rsid w:val="005F08C5"/>
    <w:rsid w:val="005F0BE8"/>
    <w:rsid w:val="005F50DF"/>
    <w:rsid w:val="005F7237"/>
    <w:rsid w:val="00601F1E"/>
    <w:rsid w:val="00602EAD"/>
    <w:rsid w:val="00606D14"/>
    <w:rsid w:val="0061542A"/>
    <w:rsid w:val="00622F14"/>
    <w:rsid w:val="00626F53"/>
    <w:rsid w:val="00637171"/>
    <w:rsid w:val="00640590"/>
    <w:rsid w:val="00645C8E"/>
    <w:rsid w:val="00646179"/>
    <w:rsid w:val="00655279"/>
    <w:rsid w:val="00660085"/>
    <w:rsid w:val="006636E9"/>
    <w:rsid w:val="00663963"/>
    <w:rsid w:val="006678F4"/>
    <w:rsid w:val="00667EEB"/>
    <w:rsid w:val="006700FE"/>
    <w:rsid w:val="00672059"/>
    <w:rsid w:val="006723A3"/>
    <w:rsid w:val="006756E5"/>
    <w:rsid w:val="00676E14"/>
    <w:rsid w:val="00680D22"/>
    <w:rsid w:val="00690C7F"/>
    <w:rsid w:val="00691E3A"/>
    <w:rsid w:val="00691E71"/>
    <w:rsid w:val="006958FF"/>
    <w:rsid w:val="00695911"/>
    <w:rsid w:val="006A1A8B"/>
    <w:rsid w:val="006A26C7"/>
    <w:rsid w:val="006A6A86"/>
    <w:rsid w:val="006B27D0"/>
    <w:rsid w:val="006C7EDE"/>
    <w:rsid w:val="006D3754"/>
    <w:rsid w:val="006D3B9C"/>
    <w:rsid w:val="006D45C6"/>
    <w:rsid w:val="006D54A1"/>
    <w:rsid w:val="006D6734"/>
    <w:rsid w:val="006E7DCC"/>
    <w:rsid w:val="006F4B77"/>
    <w:rsid w:val="006F74A9"/>
    <w:rsid w:val="00702124"/>
    <w:rsid w:val="0070283B"/>
    <w:rsid w:val="00703673"/>
    <w:rsid w:val="00703F8A"/>
    <w:rsid w:val="00704CC4"/>
    <w:rsid w:val="0071044B"/>
    <w:rsid w:val="00711857"/>
    <w:rsid w:val="0071192A"/>
    <w:rsid w:val="00713E2D"/>
    <w:rsid w:val="00722137"/>
    <w:rsid w:val="00725515"/>
    <w:rsid w:val="00725BBF"/>
    <w:rsid w:val="00726734"/>
    <w:rsid w:val="007267B9"/>
    <w:rsid w:val="007301F4"/>
    <w:rsid w:val="00733B05"/>
    <w:rsid w:val="00734C27"/>
    <w:rsid w:val="007425D8"/>
    <w:rsid w:val="007452AC"/>
    <w:rsid w:val="0074539C"/>
    <w:rsid w:val="00747565"/>
    <w:rsid w:val="007529B9"/>
    <w:rsid w:val="0076159F"/>
    <w:rsid w:val="00767580"/>
    <w:rsid w:val="00776148"/>
    <w:rsid w:val="007770CD"/>
    <w:rsid w:val="007774C2"/>
    <w:rsid w:val="007850A1"/>
    <w:rsid w:val="00791C0C"/>
    <w:rsid w:val="00793433"/>
    <w:rsid w:val="007958E9"/>
    <w:rsid w:val="00795B6E"/>
    <w:rsid w:val="00796A39"/>
    <w:rsid w:val="00797C30"/>
    <w:rsid w:val="007A2BB7"/>
    <w:rsid w:val="007A3E4E"/>
    <w:rsid w:val="007A5E7C"/>
    <w:rsid w:val="007B1B9E"/>
    <w:rsid w:val="007B2629"/>
    <w:rsid w:val="007B69C5"/>
    <w:rsid w:val="007C663C"/>
    <w:rsid w:val="007D1F7F"/>
    <w:rsid w:val="007D2F5E"/>
    <w:rsid w:val="007D31B6"/>
    <w:rsid w:val="007D79F7"/>
    <w:rsid w:val="007E146F"/>
    <w:rsid w:val="007E35FC"/>
    <w:rsid w:val="007E3BC2"/>
    <w:rsid w:val="007E52A3"/>
    <w:rsid w:val="007E565D"/>
    <w:rsid w:val="007E74B5"/>
    <w:rsid w:val="007F0267"/>
    <w:rsid w:val="007F06B2"/>
    <w:rsid w:val="007F2F76"/>
    <w:rsid w:val="007F3329"/>
    <w:rsid w:val="007F3444"/>
    <w:rsid w:val="00806088"/>
    <w:rsid w:val="008073E7"/>
    <w:rsid w:val="00810766"/>
    <w:rsid w:val="008108D7"/>
    <w:rsid w:val="00816078"/>
    <w:rsid w:val="00817371"/>
    <w:rsid w:val="0081747B"/>
    <w:rsid w:val="00822246"/>
    <w:rsid w:val="00822306"/>
    <w:rsid w:val="00822A15"/>
    <w:rsid w:val="0082655E"/>
    <w:rsid w:val="00831154"/>
    <w:rsid w:val="00834559"/>
    <w:rsid w:val="00843329"/>
    <w:rsid w:val="00844D6B"/>
    <w:rsid w:val="00847B3F"/>
    <w:rsid w:val="00855C30"/>
    <w:rsid w:val="00865C49"/>
    <w:rsid w:val="0086728A"/>
    <w:rsid w:val="00870C87"/>
    <w:rsid w:val="00874C12"/>
    <w:rsid w:val="00882909"/>
    <w:rsid w:val="008830B5"/>
    <w:rsid w:val="00883443"/>
    <w:rsid w:val="00886B4B"/>
    <w:rsid w:val="0089027A"/>
    <w:rsid w:val="00892FBE"/>
    <w:rsid w:val="00893860"/>
    <w:rsid w:val="0089409C"/>
    <w:rsid w:val="008942C2"/>
    <w:rsid w:val="008947C6"/>
    <w:rsid w:val="008A020A"/>
    <w:rsid w:val="008A0F2D"/>
    <w:rsid w:val="008A1483"/>
    <w:rsid w:val="008A68F5"/>
    <w:rsid w:val="008A6C03"/>
    <w:rsid w:val="008A7A09"/>
    <w:rsid w:val="008B0FE2"/>
    <w:rsid w:val="008B284A"/>
    <w:rsid w:val="008B2CCA"/>
    <w:rsid w:val="008E131A"/>
    <w:rsid w:val="008F087C"/>
    <w:rsid w:val="008F4BA2"/>
    <w:rsid w:val="008F79E5"/>
    <w:rsid w:val="00901D91"/>
    <w:rsid w:val="00904963"/>
    <w:rsid w:val="00911A44"/>
    <w:rsid w:val="00913376"/>
    <w:rsid w:val="00924845"/>
    <w:rsid w:val="009264B4"/>
    <w:rsid w:val="00926A93"/>
    <w:rsid w:val="00932200"/>
    <w:rsid w:val="009358D7"/>
    <w:rsid w:val="00937ED1"/>
    <w:rsid w:val="0094301B"/>
    <w:rsid w:val="0095072B"/>
    <w:rsid w:val="009535D1"/>
    <w:rsid w:val="00953863"/>
    <w:rsid w:val="00954137"/>
    <w:rsid w:val="00954CB3"/>
    <w:rsid w:val="00956E70"/>
    <w:rsid w:val="00957846"/>
    <w:rsid w:val="009632CD"/>
    <w:rsid w:val="00970B69"/>
    <w:rsid w:val="009760D5"/>
    <w:rsid w:val="00976DB6"/>
    <w:rsid w:val="009821B9"/>
    <w:rsid w:val="009853EC"/>
    <w:rsid w:val="00986B34"/>
    <w:rsid w:val="00992D15"/>
    <w:rsid w:val="00995D6E"/>
    <w:rsid w:val="009965A1"/>
    <w:rsid w:val="009976A7"/>
    <w:rsid w:val="009A132D"/>
    <w:rsid w:val="009A1AAC"/>
    <w:rsid w:val="009A431A"/>
    <w:rsid w:val="009A7313"/>
    <w:rsid w:val="009A787E"/>
    <w:rsid w:val="009B25C9"/>
    <w:rsid w:val="009B6EEA"/>
    <w:rsid w:val="009C2D2D"/>
    <w:rsid w:val="009D1DAD"/>
    <w:rsid w:val="009D4633"/>
    <w:rsid w:val="009D4B7D"/>
    <w:rsid w:val="009E2B2C"/>
    <w:rsid w:val="009E6BD4"/>
    <w:rsid w:val="009F5F58"/>
    <w:rsid w:val="009F75E9"/>
    <w:rsid w:val="009F7AC9"/>
    <w:rsid w:val="009F7F7C"/>
    <w:rsid w:val="00A01B28"/>
    <w:rsid w:val="00A11A7F"/>
    <w:rsid w:val="00A127B5"/>
    <w:rsid w:val="00A217A6"/>
    <w:rsid w:val="00A23101"/>
    <w:rsid w:val="00A2675D"/>
    <w:rsid w:val="00A26969"/>
    <w:rsid w:val="00A35074"/>
    <w:rsid w:val="00A40B0E"/>
    <w:rsid w:val="00A40FBB"/>
    <w:rsid w:val="00A45D96"/>
    <w:rsid w:val="00A47D7F"/>
    <w:rsid w:val="00A53D9D"/>
    <w:rsid w:val="00A63421"/>
    <w:rsid w:val="00A65BA0"/>
    <w:rsid w:val="00A65D65"/>
    <w:rsid w:val="00A67516"/>
    <w:rsid w:val="00A72B16"/>
    <w:rsid w:val="00A73023"/>
    <w:rsid w:val="00A74242"/>
    <w:rsid w:val="00A82CE3"/>
    <w:rsid w:val="00A84BDE"/>
    <w:rsid w:val="00A949CD"/>
    <w:rsid w:val="00A94CE5"/>
    <w:rsid w:val="00AA15B7"/>
    <w:rsid w:val="00AA5709"/>
    <w:rsid w:val="00AA58BD"/>
    <w:rsid w:val="00AB3478"/>
    <w:rsid w:val="00AB798F"/>
    <w:rsid w:val="00AC030C"/>
    <w:rsid w:val="00AC2787"/>
    <w:rsid w:val="00AC5D34"/>
    <w:rsid w:val="00AC7BDE"/>
    <w:rsid w:val="00AD126D"/>
    <w:rsid w:val="00AD4D99"/>
    <w:rsid w:val="00AD6635"/>
    <w:rsid w:val="00AF1CC4"/>
    <w:rsid w:val="00AF52BA"/>
    <w:rsid w:val="00B0575F"/>
    <w:rsid w:val="00B06434"/>
    <w:rsid w:val="00B10DED"/>
    <w:rsid w:val="00B110EB"/>
    <w:rsid w:val="00B11319"/>
    <w:rsid w:val="00B2092C"/>
    <w:rsid w:val="00B32343"/>
    <w:rsid w:val="00B33461"/>
    <w:rsid w:val="00B40FDA"/>
    <w:rsid w:val="00B43602"/>
    <w:rsid w:val="00B450EF"/>
    <w:rsid w:val="00B50B02"/>
    <w:rsid w:val="00B57953"/>
    <w:rsid w:val="00B602A3"/>
    <w:rsid w:val="00B60657"/>
    <w:rsid w:val="00B61F3C"/>
    <w:rsid w:val="00B6217E"/>
    <w:rsid w:val="00B72E15"/>
    <w:rsid w:val="00B800F2"/>
    <w:rsid w:val="00B834BC"/>
    <w:rsid w:val="00B85EBE"/>
    <w:rsid w:val="00B868F8"/>
    <w:rsid w:val="00B871D3"/>
    <w:rsid w:val="00B90891"/>
    <w:rsid w:val="00B96B06"/>
    <w:rsid w:val="00B97276"/>
    <w:rsid w:val="00B9785C"/>
    <w:rsid w:val="00BA1271"/>
    <w:rsid w:val="00BA7336"/>
    <w:rsid w:val="00BA75C3"/>
    <w:rsid w:val="00BB5EAF"/>
    <w:rsid w:val="00BB6059"/>
    <w:rsid w:val="00BB7F73"/>
    <w:rsid w:val="00BC1DC6"/>
    <w:rsid w:val="00BC2419"/>
    <w:rsid w:val="00BD05B7"/>
    <w:rsid w:val="00BD64DB"/>
    <w:rsid w:val="00BE3C83"/>
    <w:rsid w:val="00BE4605"/>
    <w:rsid w:val="00BF1338"/>
    <w:rsid w:val="00BF4103"/>
    <w:rsid w:val="00C00789"/>
    <w:rsid w:val="00C03864"/>
    <w:rsid w:val="00C063F9"/>
    <w:rsid w:val="00C13054"/>
    <w:rsid w:val="00C145F7"/>
    <w:rsid w:val="00C157AA"/>
    <w:rsid w:val="00C22AE3"/>
    <w:rsid w:val="00C30140"/>
    <w:rsid w:val="00C35AEE"/>
    <w:rsid w:val="00C36329"/>
    <w:rsid w:val="00C410F1"/>
    <w:rsid w:val="00C44540"/>
    <w:rsid w:val="00C467BF"/>
    <w:rsid w:val="00C53CCF"/>
    <w:rsid w:val="00C61000"/>
    <w:rsid w:val="00C62821"/>
    <w:rsid w:val="00C64518"/>
    <w:rsid w:val="00C64F28"/>
    <w:rsid w:val="00C67041"/>
    <w:rsid w:val="00C72F7E"/>
    <w:rsid w:val="00C73B1C"/>
    <w:rsid w:val="00C74620"/>
    <w:rsid w:val="00C777A3"/>
    <w:rsid w:val="00C77E4F"/>
    <w:rsid w:val="00C854E9"/>
    <w:rsid w:val="00C86D99"/>
    <w:rsid w:val="00C944CB"/>
    <w:rsid w:val="00C946B5"/>
    <w:rsid w:val="00CA0527"/>
    <w:rsid w:val="00CA4A0A"/>
    <w:rsid w:val="00CA529D"/>
    <w:rsid w:val="00CA6724"/>
    <w:rsid w:val="00CB2164"/>
    <w:rsid w:val="00CB419B"/>
    <w:rsid w:val="00CB7AF8"/>
    <w:rsid w:val="00CC101E"/>
    <w:rsid w:val="00CC48AE"/>
    <w:rsid w:val="00CC529A"/>
    <w:rsid w:val="00CD159F"/>
    <w:rsid w:val="00CD7CC0"/>
    <w:rsid w:val="00CE34CF"/>
    <w:rsid w:val="00CE4829"/>
    <w:rsid w:val="00CE6824"/>
    <w:rsid w:val="00CE6F16"/>
    <w:rsid w:val="00CE7ED1"/>
    <w:rsid w:val="00CF4421"/>
    <w:rsid w:val="00CF67F2"/>
    <w:rsid w:val="00D01314"/>
    <w:rsid w:val="00D05EA2"/>
    <w:rsid w:val="00D06505"/>
    <w:rsid w:val="00D06D78"/>
    <w:rsid w:val="00D1204B"/>
    <w:rsid w:val="00D2768C"/>
    <w:rsid w:val="00D33A7F"/>
    <w:rsid w:val="00D34E5E"/>
    <w:rsid w:val="00D35CAC"/>
    <w:rsid w:val="00D3719B"/>
    <w:rsid w:val="00D3737D"/>
    <w:rsid w:val="00D4124C"/>
    <w:rsid w:val="00D41F1B"/>
    <w:rsid w:val="00D438A3"/>
    <w:rsid w:val="00D452F0"/>
    <w:rsid w:val="00D46FD8"/>
    <w:rsid w:val="00D511F5"/>
    <w:rsid w:val="00D523DA"/>
    <w:rsid w:val="00D62868"/>
    <w:rsid w:val="00D65013"/>
    <w:rsid w:val="00D7241B"/>
    <w:rsid w:val="00D73C0F"/>
    <w:rsid w:val="00D83A7B"/>
    <w:rsid w:val="00D94356"/>
    <w:rsid w:val="00D96848"/>
    <w:rsid w:val="00DA4DAB"/>
    <w:rsid w:val="00DB14E2"/>
    <w:rsid w:val="00DB2EE6"/>
    <w:rsid w:val="00DB6961"/>
    <w:rsid w:val="00DB6E8B"/>
    <w:rsid w:val="00DB6EDB"/>
    <w:rsid w:val="00DC288B"/>
    <w:rsid w:val="00DC45A4"/>
    <w:rsid w:val="00DC748F"/>
    <w:rsid w:val="00DD22DF"/>
    <w:rsid w:val="00DD73E7"/>
    <w:rsid w:val="00DD75D6"/>
    <w:rsid w:val="00DF4941"/>
    <w:rsid w:val="00DF6675"/>
    <w:rsid w:val="00E02223"/>
    <w:rsid w:val="00E072BE"/>
    <w:rsid w:val="00E0770E"/>
    <w:rsid w:val="00E120A8"/>
    <w:rsid w:val="00E149E1"/>
    <w:rsid w:val="00E1501F"/>
    <w:rsid w:val="00E1630B"/>
    <w:rsid w:val="00E210A3"/>
    <w:rsid w:val="00E211AE"/>
    <w:rsid w:val="00E2340A"/>
    <w:rsid w:val="00E2661A"/>
    <w:rsid w:val="00E41946"/>
    <w:rsid w:val="00E419A8"/>
    <w:rsid w:val="00E55A13"/>
    <w:rsid w:val="00E614F1"/>
    <w:rsid w:val="00E62979"/>
    <w:rsid w:val="00E64014"/>
    <w:rsid w:val="00E64223"/>
    <w:rsid w:val="00E753FF"/>
    <w:rsid w:val="00E75920"/>
    <w:rsid w:val="00E80150"/>
    <w:rsid w:val="00E8172D"/>
    <w:rsid w:val="00E85B62"/>
    <w:rsid w:val="00E8616F"/>
    <w:rsid w:val="00E93E99"/>
    <w:rsid w:val="00E93FBA"/>
    <w:rsid w:val="00E958A1"/>
    <w:rsid w:val="00E95BA5"/>
    <w:rsid w:val="00EA2E3C"/>
    <w:rsid w:val="00EA3C51"/>
    <w:rsid w:val="00EA6A79"/>
    <w:rsid w:val="00EA798D"/>
    <w:rsid w:val="00EB3EB7"/>
    <w:rsid w:val="00EB522E"/>
    <w:rsid w:val="00EB6991"/>
    <w:rsid w:val="00EC313C"/>
    <w:rsid w:val="00EC3A75"/>
    <w:rsid w:val="00EC3ECB"/>
    <w:rsid w:val="00EC4096"/>
    <w:rsid w:val="00EC555C"/>
    <w:rsid w:val="00ED1350"/>
    <w:rsid w:val="00ED6F5E"/>
    <w:rsid w:val="00EE27CD"/>
    <w:rsid w:val="00EE57C7"/>
    <w:rsid w:val="00EF09DF"/>
    <w:rsid w:val="00EF4C1C"/>
    <w:rsid w:val="00F123CC"/>
    <w:rsid w:val="00F140B7"/>
    <w:rsid w:val="00F173AE"/>
    <w:rsid w:val="00F265C4"/>
    <w:rsid w:val="00F340DF"/>
    <w:rsid w:val="00F3568E"/>
    <w:rsid w:val="00F36B88"/>
    <w:rsid w:val="00F36D61"/>
    <w:rsid w:val="00F36FE7"/>
    <w:rsid w:val="00F37F89"/>
    <w:rsid w:val="00F51C78"/>
    <w:rsid w:val="00F576B8"/>
    <w:rsid w:val="00F57B85"/>
    <w:rsid w:val="00F61627"/>
    <w:rsid w:val="00F65B1A"/>
    <w:rsid w:val="00F6675C"/>
    <w:rsid w:val="00F735C8"/>
    <w:rsid w:val="00F75427"/>
    <w:rsid w:val="00F80DAC"/>
    <w:rsid w:val="00F87849"/>
    <w:rsid w:val="00F9496E"/>
    <w:rsid w:val="00F96A2A"/>
    <w:rsid w:val="00FA06F4"/>
    <w:rsid w:val="00FB4722"/>
    <w:rsid w:val="00FB6295"/>
    <w:rsid w:val="00FC26FE"/>
    <w:rsid w:val="00FC3ECF"/>
    <w:rsid w:val="00FC4FEF"/>
    <w:rsid w:val="00FC6C89"/>
    <w:rsid w:val="00FC6E07"/>
    <w:rsid w:val="00FC72A7"/>
    <w:rsid w:val="00FD36BE"/>
    <w:rsid w:val="00FD7766"/>
    <w:rsid w:val="00FD7CD5"/>
    <w:rsid w:val="00FF2B68"/>
    <w:rsid w:val="00FF3A91"/>
    <w:rsid w:val="00F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BE"/>
    <w:rPr>
      <w:rFonts w:ascii="Times New Roman" w:eastAsia="Times New Roman" w:hAnsi="Times New Roman"/>
      <w:lang w:eastAsia="en-US"/>
    </w:rPr>
  </w:style>
  <w:style w:type="paragraph" w:styleId="Heading1">
    <w:name w:val="heading 1"/>
    <w:basedOn w:val="Normal"/>
    <w:next w:val="Normal"/>
    <w:link w:val="Heading1Char"/>
    <w:autoRedefine/>
    <w:uiPriority w:val="99"/>
    <w:qFormat/>
    <w:locked/>
    <w:rsid w:val="004F744F"/>
    <w:pPr>
      <w:keepNext/>
      <w:spacing w:before="240" w:after="60" w:line="276" w:lineRule="auto"/>
      <w:jc w:val="both"/>
      <w:outlineLvl w:val="0"/>
    </w:pPr>
    <w:rPr>
      <w:rFonts w:ascii="Arial" w:hAnsi="Arial" w:cs="Arial"/>
      <w:b/>
      <w:bCs/>
      <w:kern w:val="32"/>
      <w:sz w:val="28"/>
      <w:szCs w:val="28"/>
    </w:rPr>
  </w:style>
  <w:style w:type="paragraph" w:styleId="Heading2">
    <w:name w:val="heading 2"/>
    <w:basedOn w:val="Normal"/>
    <w:next w:val="Normal"/>
    <w:link w:val="Heading2Char"/>
    <w:uiPriority w:val="99"/>
    <w:qFormat/>
    <w:locked/>
    <w:rsid w:val="009D46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CE7ED1"/>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45085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locked/>
    <w:rsid w:val="005546D1"/>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744F"/>
    <w:rPr>
      <w:rFonts w:ascii="Arial" w:eastAsia="Times New Roman" w:hAnsi="Arial" w:cs="Arial"/>
      <w:b/>
      <w:bCs/>
      <w:kern w:val="32"/>
      <w:sz w:val="28"/>
      <w:szCs w:val="28"/>
      <w:lang w:eastAsia="en-US"/>
    </w:rPr>
  </w:style>
  <w:style w:type="character" w:customStyle="1" w:styleId="Heading2Char">
    <w:name w:val="Heading 2 Char"/>
    <w:link w:val="Heading2"/>
    <w:uiPriority w:val="99"/>
    <w:semiHidden/>
    <w:locked/>
    <w:rsid w:val="005D4443"/>
    <w:rPr>
      <w:rFonts w:ascii="Cambria" w:hAnsi="Cambria" w:cs="Times New Roman"/>
      <w:b/>
      <w:bCs/>
      <w:i/>
      <w:iCs/>
      <w:sz w:val="28"/>
      <w:szCs w:val="28"/>
      <w:lang w:val="en-GB"/>
    </w:rPr>
  </w:style>
  <w:style w:type="character" w:customStyle="1" w:styleId="Heading3Char">
    <w:name w:val="Heading 3 Char"/>
    <w:link w:val="Heading3"/>
    <w:uiPriority w:val="99"/>
    <w:locked/>
    <w:rsid w:val="00CE7ED1"/>
    <w:rPr>
      <w:rFonts w:ascii="Cambria" w:hAnsi="Cambria" w:cs="Times New Roman"/>
      <w:b/>
      <w:bCs/>
      <w:sz w:val="26"/>
      <w:szCs w:val="26"/>
      <w:lang w:val="en-GB"/>
    </w:rPr>
  </w:style>
  <w:style w:type="character" w:styleId="Emphasis">
    <w:name w:val="Emphasis"/>
    <w:uiPriority w:val="99"/>
    <w:qFormat/>
    <w:rsid w:val="00E072BE"/>
    <w:rPr>
      <w:rFonts w:cs="Times New Roman"/>
      <w:i/>
    </w:rPr>
  </w:style>
  <w:style w:type="paragraph" w:styleId="TOC1">
    <w:name w:val="toc 1"/>
    <w:basedOn w:val="Normal"/>
    <w:next w:val="Normal"/>
    <w:autoRedefine/>
    <w:uiPriority w:val="39"/>
    <w:locked/>
    <w:rsid w:val="009D4633"/>
  </w:style>
  <w:style w:type="paragraph" w:styleId="TOC2">
    <w:name w:val="toc 2"/>
    <w:basedOn w:val="Normal"/>
    <w:next w:val="Normal"/>
    <w:autoRedefine/>
    <w:uiPriority w:val="39"/>
    <w:locked/>
    <w:rsid w:val="009D4633"/>
    <w:pPr>
      <w:ind w:left="200"/>
    </w:pPr>
  </w:style>
  <w:style w:type="character" w:styleId="Hyperlink">
    <w:name w:val="Hyperlink"/>
    <w:uiPriority w:val="99"/>
    <w:rsid w:val="009D4633"/>
    <w:rPr>
      <w:rFonts w:cs="Times New Roman"/>
      <w:color w:val="0000FF"/>
      <w:u w:val="single"/>
    </w:rPr>
  </w:style>
  <w:style w:type="paragraph" w:styleId="Footer">
    <w:name w:val="footer"/>
    <w:basedOn w:val="Normal"/>
    <w:link w:val="FooterChar"/>
    <w:uiPriority w:val="99"/>
    <w:rsid w:val="00081405"/>
    <w:pPr>
      <w:tabs>
        <w:tab w:val="center" w:pos="4320"/>
        <w:tab w:val="right" w:pos="8640"/>
      </w:tabs>
    </w:pPr>
  </w:style>
  <w:style w:type="character" w:customStyle="1" w:styleId="FooterChar">
    <w:name w:val="Footer Char"/>
    <w:link w:val="Footer"/>
    <w:uiPriority w:val="99"/>
    <w:semiHidden/>
    <w:locked/>
    <w:rsid w:val="00432C20"/>
    <w:rPr>
      <w:rFonts w:ascii="Times New Roman" w:hAnsi="Times New Roman" w:cs="Times New Roman"/>
      <w:sz w:val="20"/>
      <w:szCs w:val="20"/>
      <w:lang w:val="en-GB"/>
    </w:rPr>
  </w:style>
  <w:style w:type="character" w:styleId="PageNumber">
    <w:name w:val="page number"/>
    <w:uiPriority w:val="99"/>
    <w:rsid w:val="00081405"/>
    <w:rPr>
      <w:rFonts w:cs="Times New Roman"/>
    </w:rPr>
  </w:style>
  <w:style w:type="paragraph" w:styleId="Header">
    <w:name w:val="header"/>
    <w:basedOn w:val="Normal"/>
    <w:link w:val="HeaderChar"/>
    <w:uiPriority w:val="99"/>
    <w:rsid w:val="00D34E5E"/>
    <w:pPr>
      <w:tabs>
        <w:tab w:val="center" w:pos="4320"/>
        <w:tab w:val="right" w:pos="8640"/>
      </w:tabs>
    </w:pPr>
  </w:style>
  <w:style w:type="character" w:customStyle="1" w:styleId="HeaderChar">
    <w:name w:val="Header Char"/>
    <w:link w:val="Header"/>
    <w:uiPriority w:val="99"/>
    <w:semiHidden/>
    <w:locked/>
    <w:rsid w:val="00432C20"/>
    <w:rPr>
      <w:rFonts w:ascii="Times New Roman" w:hAnsi="Times New Roman" w:cs="Times New Roman"/>
      <w:sz w:val="20"/>
      <w:szCs w:val="20"/>
      <w:lang w:val="en-GB"/>
    </w:rPr>
  </w:style>
  <w:style w:type="paragraph" w:styleId="TOC3">
    <w:name w:val="toc 3"/>
    <w:basedOn w:val="Normal"/>
    <w:next w:val="Normal"/>
    <w:autoRedefine/>
    <w:uiPriority w:val="39"/>
    <w:locked/>
    <w:rsid w:val="003F6926"/>
    <w:pPr>
      <w:ind w:left="400"/>
    </w:pPr>
  </w:style>
  <w:style w:type="paragraph" w:styleId="ListParagraph">
    <w:name w:val="List Paragraph"/>
    <w:basedOn w:val="Normal"/>
    <w:uiPriority w:val="34"/>
    <w:qFormat/>
    <w:rsid w:val="003F6926"/>
    <w:pPr>
      <w:ind w:left="720"/>
    </w:pPr>
    <w:rPr>
      <w:rFonts w:ascii="Calibri" w:eastAsia="Calibri" w:hAnsi="Calibri" w:cs="Calibri"/>
      <w:sz w:val="22"/>
      <w:szCs w:val="22"/>
      <w:lang w:eastAsia="en-GB"/>
    </w:rPr>
  </w:style>
  <w:style w:type="paragraph" w:styleId="BalloonText">
    <w:name w:val="Balloon Text"/>
    <w:basedOn w:val="Normal"/>
    <w:link w:val="BalloonTextChar"/>
    <w:uiPriority w:val="99"/>
    <w:semiHidden/>
    <w:rsid w:val="00646179"/>
    <w:rPr>
      <w:rFonts w:ascii="Tahoma" w:hAnsi="Tahoma" w:cs="Tahoma"/>
      <w:sz w:val="16"/>
      <w:szCs w:val="16"/>
    </w:rPr>
  </w:style>
  <w:style w:type="character" w:customStyle="1" w:styleId="BalloonTextChar">
    <w:name w:val="Balloon Text Char"/>
    <w:link w:val="BalloonText"/>
    <w:uiPriority w:val="99"/>
    <w:semiHidden/>
    <w:locked/>
    <w:rsid w:val="00646179"/>
    <w:rPr>
      <w:rFonts w:ascii="Tahoma" w:hAnsi="Tahoma" w:cs="Tahoma"/>
      <w:sz w:val="16"/>
      <w:szCs w:val="16"/>
      <w:lang w:val="en-GB"/>
    </w:rPr>
  </w:style>
  <w:style w:type="character" w:styleId="FollowedHyperlink">
    <w:name w:val="FollowedHyperlink"/>
    <w:uiPriority w:val="99"/>
    <w:rsid w:val="005017F5"/>
    <w:rPr>
      <w:rFonts w:cs="Times New Roman"/>
      <w:color w:val="800080"/>
      <w:u w:val="single"/>
    </w:rPr>
  </w:style>
  <w:style w:type="character" w:customStyle="1" w:styleId="Heading4Char">
    <w:name w:val="Heading 4 Char"/>
    <w:basedOn w:val="DefaultParagraphFont"/>
    <w:link w:val="Heading4"/>
    <w:rsid w:val="00450852"/>
    <w:rPr>
      <w:rFonts w:asciiTheme="minorHAnsi" w:eastAsiaTheme="minorEastAsia" w:hAnsiTheme="minorHAnsi" w:cstheme="minorBidi"/>
      <w:b/>
      <w:bCs/>
      <w:sz w:val="28"/>
      <w:szCs w:val="28"/>
      <w:lang w:eastAsia="en-US"/>
    </w:rPr>
  </w:style>
  <w:style w:type="paragraph" w:customStyle="1" w:styleId="TableBodySmall">
    <w:name w:val="Table Body Small"/>
    <w:basedOn w:val="Normal"/>
    <w:rsid w:val="00C77E4F"/>
    <w:pPr>
      <w:spacing w:before="60" w:after="60"/>
    </w:pPr>
    <w:rPr>
      <w:rFonts w:ascii="Arial" w:eastAsia="Calibri" w:hAnsi="Arial"/>
      <w:szCs w:val="22"/>
    </w:rPr>
  </w:style>
  <w:style w:type="paragraph" w:customStyle="1" w:styleId="TableHeadingSmall">
    <w:name w:val="Table Heading Small"/>
    <w:basedOn w:val="Normal"/>
    <w:rsid w:val="00C77E4F"/>
    <w:pPr>
      <w:spacing w:before="60" w:after="60" w:line="276" w:lineRule="auto"/>
      <w:jc w:val="center"/>
    </w:pPr>
    <w:rPr>
      <w:rFonts w:ascii="Arial" w:eastAsia="Calibri" w:hAnsi="Arial" w:cs="Arial"/>
      <w:b/>
      <w:sz w:val="18"/>
      <w:szCs w:val="22"/>
    </w:rPr>
  </w:style>
  <w:style w:type="character" w:styleId="Strong">
    <w:name w:val="Strong"/>
    <w:basedOn w:val="DefaultParagraphFont"/>
    <w:qFormat/>
    <w:locked/>
    <w:rsid w:val="005546D1"/>
    <w:rPr>
      <w:b/>
      <w:bCs/>
    </w:rPr>
  </w:style>
  <w:style w:type="character" w:customStyle="1" w:styleId="Heading5Char">
    <w:name w:val="Heading 5 Char"/>
    <w:basedOn w:val="DefaultParagraphFont"/>
    <w:link w:val="Heading5"/>
    <w:rsid w:val="005546D1"/>
    <w:rPr>
      <w:rFonts w:asciiTheme="minorHAnsi" w:eastAsiaTheme="minorEastAsia" w:hAnsiTheme="minorHAnsi" w:cstheme="minorBidi"/>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444">
      <w:bodyDiv w:val="1"/>
      <w:marLeft w:val="0"/>
      <w:marRight w:val="0"/>
      <w:marTop w:val="0"/>
      <w:marBottom w:val="0"/>
      <w:divBdr>
        <w:top w:val="none" w:sz="0" w:space="0" w:color="auto"/>
        <w:left w:val="none" w:sz="0" w:space="0" w:color="auto"/>
        <w:bottom w:val="none" w:sz="0" w:space="0" w:color="auto"/>
        <w:right w:val="none" w:sz="0" w:space="0" w:color="auto"/>
      </w:divBdr>
    </w:div>
    <w:div w:id="499733003">
      <w:bodyDiv w:val="1"/>
      <w:marLeft w:val="0"/>
      <w:marRight w:val="0"/>
      <w:marTop w:val="0"/>
      <w:marBottom w:val="0"/>
      <w:divBdr>
        <w:top w:val="none" w:sz="0" w:space="0" w:color="auto"/>
        <w:left w:val="none" w:sz="0" w:space="0" w:color="auto"/>
        <w:bottom w:val="none" w:sz="0" w:space="0" w:color="auto"/>
        <w:right w:val="none" w:sz="0" w:space="0" w:color="auto"/>
      </w:divBdr>
    </w:div>
    <w:div w:id="529798992">
      <w:bodyDiv w:val="1"/>
      <w:marLeft w:val="0"/>
      <w:marRight w:val="0"/>
      <w:marTop w:val="0"/>
      <w:marBottom w:val="0"/>
      <w:divBdr>
        <w:top w:val="none" w:sz="0" w:space="0" w:color="auto"/>
        <w:left w:val="none" w:sz="0" w:space="0" w:color="auto"/>
        <w:bottom w:val="none" w:sz="0" w:space="0" w:color="auto"/>
        <w:right w:val="none" w:sz="0" w:space="0" w:color="auto"/>
      </w:divBdr>
    </w:div>
    <w:div w:id="676149554">
      <w:bodyDiv w:val="1"/>
      <w:marLeft w:val="0"/>
      <w:marRight w:val="0"/>
      <w:marTop w:val="0"/>
      <w:marBottom w:val="0"/>
      <w:divBdr>
        <w:top w:val="none" w:sz="0" w:space="0" w:color="auto"/>
        <w:left w:val="none" w:sz="0" w:space="0" w:color="auto"/>
        <w:bottom w:val="none" w:sz="0" w:space="0" w:color="auto"/>
        <w:right w:val="none" w:sz="0" w:space="0" w:color="auto"/>
      </w:divBdr>
    </w:div>
    <w:div w:id="808401997">
      <w:bodyDiv w:val="1"/>
      <w:marLeft w:val="0"/>
      <w:marRight w:val="0"/>
      <w:marTop w:val="0"/>
      <w:marBottom w:val="0"/>
      <w:divBdr>
        <w:top w:val="none" w:sz="0" w:space="0" w:color="auto"/>
        <w:left w:val="none" w:sz="0" w:space="0" w:color="auto"/>
        <w:bottom w:val="none" w:sz="0" w:space="0" w:color="auto"/>
        <w:right w:val="none" w:sz="0" w:space="0" w:color="auto"/>
      </w:divBdr>
    </w:div>
    <w:div w:id="912013034">
      <w:bodyDiv w:val="1"/>
      <w:marLeft w:val="0"/>
      <w:marRight w:val="0"/>
      <w:marTop w:val="0"/>
      <w:marBottom w:val="0"/>
      <w:divBdr>
        <w:top w:val="none" w:sz="0" w:space="0" w:color="auto"/>
        <w:left w:val="none" w:sz="0" w:space="0" w:color="auto"/>
        <w:bottom w:val="none" w:sz="0" w:space="0" w:color="auto"/>
        <w:right w:val="none" w:sz="0" w:space="0" w:color="auto"/>
      </w:divBdr>
    </w:div>
    <w:div w:id="959533206">
      <w:marLeft w:val="0"/>
      <w:marRight w:val="0"/>
      <w:marTop w:val="0"/>
      <w:marBottom w:val="0"/>
      <w:divBdr>
        <w:top w:val="none" w:sz="0" w:space="0" w:color="auto"/>
        <w:left w:val="none" w:sz="0" w:space="0" w:color="auto"/>
        <w:bottom w:val="none" w:sz="0" w:space="0" w:color="auto"/>
        <w:right w:val="none" w:sz="0" w:space="0" w:color="auto"/>
      </w:divBdr>
    </w:div>
    <w:div w:id="959533207">
      <w:marLeft w:val="0"/>
      <w:marRight w:val="0"/>
      <w:marTop w:val="0"/>
      <w:marBottom w:val="0"/>
      <w:divBdr>
        <w:top w:val="none" w:sz="0" w:space="0" w:color="auto"/>
        <w:left w:val="none" w:sz="0" w:space="0" w:color="auto"/>
        <w:bottom w:val="none" w:sz="0" w:space="0" w:color="auto"/>
        <w:right w:val="none" w:sz="0" w:space="0" w:color="auto"/>
      </w:divBdr>
    </w:div>
    <w:div w:id="959533208">
      <w:marLeft w:val="0"/>
      <w:marRight w:val="0"/>
      <w:marTop w:val="0"/>
      <w:marBottom w:val="0"/>
      <w:divBdr>
        <w:top w:val="none" w:sz="0" w:space="0" w:color="auto"/>
        <w:left w:val="none" w:sz="0" w:space="0" w:color="auto"/>
        <w:bottom w:val="none" w:sz="0" w:space="0" w:color="auto"/>
        <w:right w:val="none" w:sz="0" w:space="0" w:color="auto"/>
      </w:divBdr>
    </w:div>
    <w:div w:id="1209490593">
      <w:bodyDiv w:val="1"/>
      <w:marLeft w:val="0"/>
      <w:marRight w:val="0"/>
      <w:marTop w:val="0"/>
      <w:marBottom w:val="0"/>
      <w:divBdr>
        <w:top w:val="none" w:sz="0" w:space="0" w:color="auto"/>
        <w:left w:val="none" w:sz="0" w:space="0" w:color="auto"/>
        <w:bottom w:val="none" w:sz="0" w:space="0" w:color="auto"/>
        <w:right w:val="none" w:sz="0" w:space="0" w:color="auto"/>
      </w:divBdr>
    </w:div>
    <w:div w:id="1771242595">
      <w:bodyDiv w:val="1"/>
      <w:marLeft w:val="0"/>
      <w:marRight w:val="0"/>
      <w:marTop w:val="0"/>
      <w:marBottom w:val="0"/>
      <w:divBdr>
        <w:top w:val="none" w:sz="0" w:space="0" w:color="auto"/>
        <w:left w:val="none" w:sz="0" w:space="0" w:color="auto"/>
        <w:bottom w:val="none" w:sz="0" w:space="0" w:color="auto"/>
        <w:right w:val="none" w:sz="0" w:space="0" w:color="auto"/>
      </w:divBdr>
    </w:div>
    <w:div w:id="1819222610">
      <w:bodyDiv w:val="1"/>
      <w:marLeft w:val="0"/>
      <w:marRight w:val="0"/>
      <w:marTop w:val="0"/>
      <w:marBottom w:val="0"/>
      <w:divBdr>
        <w:top w:val="none" w:sz="0" w:space="0" w:color="auto"/>
        <w:left w:val="none" w:sz="0" w:space="0" w:color="auto"/>
        <w:bottom w:val="none" w:sz="0" w:space="0" w:color="auto"/>
        <w:right w:val="none" w:sz="0" w:space="0" w:color="auto"/>
      </w:divBdr>
    </w:div>
    <w:div w:id="20620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3556</TotalTime>
  <Pages>18</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PENRHOS LEISURE VILLAGE</vt:lpstr>
    </vt:vector>
  </TitlesOfParts>
  <Company>GAT</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PENRHOS LEISURE VILLAGE</dc:title>
  <dc:creator>Andrew Davidson</dc:creator>
  <cp:lastModifiedBy>Stuart Reilly</cp:lastModifiedBy>
  <cp:revision>187</cp:revision>
  <cp:lastPrinted>2015-09-14T10:28:00Z</cp:lastPrinted>
  <dcterms:created xsi:type="dcterms:W3CDTF">2015-04-13T12:58:00Z</dcterms:created>
  <dcterms:modified xsi:type="dcterms:W3CDTF">2015-10-08T12:00:00Z</dcterms:modified>
</cp:coreProperties>
</file>